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E-326/2017 vom 18. Februar 2019</w:t>
      </w:r>
    </w:p>
    <w:p>
      <w:r>
        <w:t>Bundesverwaltungsgericht, 2019-02-18, FR</w:t>
      </w:r>
    </w:p>
    <w:p>
      <w:r>
        <w:rPr>
          <w:b/>
        </w:rPr>
        <w:t xml:space="preserve">Quelle: </w:t>
      </w:r>
      <w:r>
        <w:t>https://mcp.opencaselaw.ch/entscheid/bvger_E-326_2017</w:t>
      </w:r>
    </w:p>
    <w:p>
      <w:r>
        <w:t>FR: TAF E-326/2017 du 18 février 2019</w:t>
      </w:r>
    </w:p>
    <w:p>
      <w:r>
        <w:t>IT: TAF E-326/2017 del 18 febbraio 2019</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w:t>
      </w:r>
    </w:p>
    <w:p>
      <w:r>
        <w:rPr>
          <w:b/>
        </w:rPr>
        <w:t>E. 1.2</w:t>
      </w:r>
    </w:p>
    <w:p>
      <w:r>
        <w:t>Le recourant a qualité pour recourir (cf. art. 48 al.1 PA, applicable par renvoi de l'art. 37 LTAF). Présenté dans la forme (cf. 52 al. 1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n'est pas contesté qu'en Erythrée, le camp militaire de Sawa est la première étape obligatoire du service national que chaque citoyen scolarisé, garçon et fille, se doit d'accomplir. Ce constat ne dispense toutefois pas ceux qui, à l'instar du recourant, allèguent avoir déserté quand ils étaient à Sawa de rendre vraisemblable leur présence à cet endroit au moment de leur fuite.</w:t>
      </w:r>
    </w:p>
    <w:p>
      <w:r>
        <w:rPr>
          <w:b/>
        </w:rPr>
        <w:t>E. 3.2</w:t>
      </w:r>
    </w:p>
    <w:p>
      <w:r>
        <w:t>En l'occurrence, le Tribunal reconnaît que ce que le recourant dit avoir vécu à Sawa correspond à ce qui est généralement admis. Pour autant, à l'instar du SEM, il considère que l'intéressé n'a pas livré d'informations que n'aurait pu donner quelqu'un qui n'aurait jamais été à Sawa. Hormis que le camp militaire était vaste et qu'il était bâti sur une plaine, il n'a rien dit des particularités de la région et de ceux qui y vivaient, mis à part les nombreux instructeurs militaires et recrues du camp. Après un énoncé détaillé de l'itinéraire emprunté pour s'y rendre, il a en outre étrangement omis de mentionner le nom de la région où se trouvait Sawa. Concernant son arrivée au camp, il a certes déclaré avoir été emmené avec les autres conscrits dans un hangar, mais il n'a rien dit des circonstances de leur réception, ni des logements qui leur avaient été affectés, ni en compagnie de qui il avait été logé et dans quelles conditions. Il n'a pas été plus disert au sujet de l'entraînement militaire qui aurait suivi son arrivée au camp. Il n'a ainsi rien avancé de probant concernant l'ordre du jour en vigueur pendant cet entraînement. Il n'a notamment pas dit comment les conscrits étaient réveillés et à quelle heure ils l'étaient. S'il a souligné que la consommation d'alcool était interdite à Sawa, il n'a pas dit en quoi consistait le repas des recrues, comment ils les prenaient et à quelle heure avait lieu l'extinction des feux au camp. Il n'a rien dit non plus des sanctions infligées à ceux qui commettaient des erreurs pendant l'instruction. Par ailleurs, telle qu'il l'a indiquée, la durée de cette session d'entraînement ne correspond pas aux informations à disposition du Tribunal. Enfin, s'il avait réellement été à Sawa, il n'aurait pas omis de mentionner l'endoctrinement auquel les recrues sont soumises pendant plusieurs mois. Le recourant estime toutefois avoir rendu vraisemblable sa présence à Sawa par la production, au stade du recours, de ce qui apparaît être un certificat d'admission à la douzième et dernière année du cycle d'études secondaires et par celle d'une photocopie d'un article de presse mentionnant qu'en 2014, en Erythrée, les examens de fin de cycle d'études secondaires avaient bien eu lieu le 24 mars ainsi qu'il l'avait affirmé à son audition principale. De fait, ce certificat ne fait que mentionner les matières à l'examen desquelles son détenteur est admis à se présenter à la « Warsay YIkealo Secondary School », à Sawa au terme de sa douzième année de cycle secondaire. Il n'établit pas que le recourant a effectivement été à Sawa ni qu'à cet endroit, il a bien suivi les cours dispensés à école « F._______ », qu'il a expressément citée. Le nom de la personne pour laquelle le certificat a été établi est en outre un peu différent de celui du recourant. Dès lors, ce document ne saurait établir à suffisance de droit le passage de l'intéressé à Sawa. De même, si elle tend à confirmer les déclarations du recourant au sujet de la date des examens de fin cycle secondaire à Sawa, la coupure de presse produite n'établit pas non plus sa présence à Sawa. En outre, ce qu'on peut y lire concerne les examens des disciplines techniques et commerciales dont la session s'est achevée le (...). Or le recourant a dit avoir été inscrit dans la section « (...) ». Par ailleurs, le Tribunal considère que les autorités militaires n'auraient très vraisemblablement pas convoqué à Sawa le recourant s'il n'était pas rentré de permission ; elles l'auraient plutôt fait immédiatement rechercher et le recourant ne se serait pas risqué à rester encore un ou deux mois au domicile familial. En outre et quoi qu'il en dise, il n'a pas été constant sur le biais par lequel il aurait été informé de cette convocation. Il a en effet d'abord déclaré en avoir été informé par son père puis, plus loin, dans la même audition, il a dit l'avoir appris par ses amis qui lui avaient aussi dit que son père avait été emmené après avoir reçu la convocation. Quant à l'évocation erronée d'une 23ème mesre dans l'énoncé de son incorporation, elle révèle moins un lapsus de sa part qu'une connaissance imparfaite de la structure de l'armée érythréenne, car il semble évident que l'unité appelée « ganta », l'avant-dernière, dans un ordre décroissant, des unités de l'armée érythréenne, ne saurait compter 23 sous-unités nommées « mesre », ce que le recourant aurait dû réaliser s'il avait été incorporé à l'armée érythréenne. Le Tribunal n'exclut pas ainsi que l'intéressé a appris un numéro d'incorporation qu'il n'a ensuite pas pu se rappeler correctement. Enfin, l'explication du recourant, en vertu de laquelle la signification du terme utilisé pour désigner l'endroit de sa blessure recouvrirait la partie de la jambe comprise entre le genou et le bout du pied, raison pour laquelle les interprète présents à ses auditions l'auraient successivement traduit par les mots jambe, genou et pied, ne convainc pas. Il ne semble pas en effet que le vocabulaire tigrinya n'aurait pas de terme spécifique pour désigner la jambe, le genou ou le pied.</w:t>
      </w:r>
    </w:p>
    <w:p>
      <w:r>
        <w:rPr>
          <w:b/>
        </w:rPr>
        <w:t>E. 3.3</w:t>
      </w:r>
    </w:p>
    <w:p>
      <w:r>
        <w:t>Vu ce qui précède, les circonstances à l'origine du départ de l'intéressé ne peuvent être celles qu'il a alléguées. Il ne saurait ainsi être admis qu'il est un déserteur.</w:t>
      </w:r>
    </w:p>
    <w:p>
      <w:r>
        <w:rPr>
          <w:b/>
        </w:rPr>
        <w:t>E. 4</w:t>
      </w:r>
    </w:p>
    <w:p>
      <w:r>
        <w:t>Il reste à examiner si le recourant doit se voir reconnaître la qualité de réfugié, à l'exclusion de l'asile, en raison de son seul départ illégal (cf. art 54 LAsi). Dans son arrêt D-7898/2015 du 30 janvier 2017, publié comme arrêt de référence, le Tribunal a examiné dans quelle mesure les Erythréens qui ont quitté leur pays illégalement doivent craindre des mesures de persécution, à ce titre, en cas de retour. Suite à 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w:t>
      </w:r>
    </w:p>
    <w:p>
      <w:r>
        <w:rPr>
          <w:b/>
        </w:rPr>
        <w:t>E. 5</w:t>
      </w:r>
    </w:p>
    <w:p>
      <w:r>
        <w:t>Il s'ensuit que le recours, en tant qu'il porte sur la reconnaissance de la qualité de réfugié et l'octroi de l'asile, doit être rejeté.</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L'exécution du renvoi est ordonnée si elle est licite, raisonnablement exigible et possible. Si ces conditions ne sont pas réunies,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8.2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 ; 2012/31 consid. 7.2.2 ; 2011/24 consid. 10.4.1).</w:t>
      </w:r>
    </w:p>
    <w:p>
      <w:r>
        <w:rPr>
          <w:b/>
        </w:rPr>
        <w:t>E. 8.5</w:t>
      </w:r>
    </w:p>
    <w:p>
      <w:r>
        <w:t>En raison de l'âge du requérant - à son départ de l'Érythrée et à l'heure actuelle - sa crainte d'être enrôlé dans le service national à son retour n'est pas infondée (voir aussi, en ce qui concerne la pratique érythréenne l'arrêt de référence D-2311/2016 du 17 août 2017 consid. 13.2 - 13.4).</w:t>
      </w:r>
    </w:p>
    <w:p>
      <w:r>
        <w:rPr>
          <w:b/>
        </w:rPr>
        <w:t>E. 8.6</w:t>
      </w:r>
    </w:p>
    <w:p>
      <w:r>
        <w:t>Dans son arrêt de principe E-5022/2017 du 10 juillet 2018 (prévu à publication), le Tribunal s'est penché sur la question de la licéité de l'exécution du renvoi en Erythrée sans recours à des moyens de contrainte, s'il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soldats peuvent, en outre, être utilisés comme main-d'oeuvre pour toutes sortes de travaux utiles à l'économie nationale, sans lien avec les tâches proprement militaires.</w:t>
      </w:r>
    </w:p>
    <w:p>
      <w:r>
        <w:rPr>
          <w:b/>
        </w:rPr>
        <w:t>E. 8.7</w:t>
      </w:r>
    </w:p>
    <w:p>
      <w:r>
        <w:t>Partant de ce tableau, et se basant sur les sources disponibles, le Tribunal est arrivé à la conclusion que le service national érythréen ne peut être défini comme un esclavage ou une servitude au sens de l'art. 4 par. 1 CEDH. En revanche, dans la mesure où ce service, mal rémunéré, est sans durée préalablement déterminée et peut se prolonger de cinq à dix ans, il ne constitue pas une obligation civique normale (art. 4 par. 3 let. d CEDH) ; il représente une charge disproportionnée, et se trouve susceptible d'être qualifié de travail forcé au sens de l'art. 4 par.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par. 2 CEDH (interdiction du travail forcé ou obligatoire) ne peut ainsi être retenue (consid. 6.1.5) ; il en va de même du risque d'être soumis à un traitement inhumain ou dégradant au sens de l'art. 3 CEDH (consid. 6.1.6).</w:t>
      </w:r>
    </w:p>
    <w:p>
      <w:r>
        <w:rPr>
          <w:b/>
        </w:rPr>
        <w:t>E. 8.8</w:t>
      </w:r>
    </w:p>
    <w:p>
      <w:r>
        <w:t>En conclusion, le risque d'être convoqué par l'autorité militaire et d'être tenu d'accomplir le service national n'est pas, en soi, de nature à rendre illicite l'exécution du renvoi en Erythrée, en cas de retour volontaire. En l'espèce, le recourant, qui n'a pas rendu vraisemblable la désertion alléguée à l'appui de sa demande d'asile, n'a pas non plus établi la forte probabilité d'un risque de traitement contraire au droit international s'il venait à être convoqué au service national à son retour en Erythrée.</w:t>
      </w:r>
    </w:p>
    <w:p>
      <w:r>
        <w:rPr>
          <w:b/>
        </w:rPr>
        <w:t>E. 8.9</w:t>
      </w:r>
    </w:p>
    <w:p>
      <w:r>
        <w:t>Dès lors, l'exécution du renvoi sous forme de refoulement sur une base volontaire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w:t>
      </w:r>
    </w:p>
    <w:p>
      <w:r>
        <w:rPr>
          <w:b/>
        </w:rPr>
        <w:t>E. 9.2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Par ailleurs, le 9 juillet 2018, un accord de paix a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16). Le seul risque d'être incorporé dans le service national, à supposer qu'il y soit physiquement apte, ne peut pas être considéré en soi comme un obstacle à l'exécution du renvoi au sens de l'art. 83 al. 4 LEI (arrêt E-5022/2017 précité, consid. 6.2).</w:t>
      </w:r>
    </w:p>
    <w:p>
      <w:r>
        <w:rPr>
          <w:b/>
        </w:rPr>
        <w:t>E. 9.3</w:t>
      </w:r>
    </w:p>
    <w:p>
      <w:r>
        <w:t>En l'espèce, il ne ressort du dossier aucun élément défavorable dont on pourrait inférer une mise en danger concrète du recourant en cas d'exécution du renvoi. Comme déjà souligné à bon escient par le SEM, l'intéressé, qui est jeune et ne s'est prévalu d'aucun problème de santé, est en mesure de subvenir à ses besoins par son travail. Il peut aussi compter sur le soutien d'un solide réseau familial dans son pays où vivent ses parents et ses nombreux frères et soeurs. Ses parents et des membres de sa parenté auraient avancé les 7'000 dollars nécessaires au financement de son voyage en Europe.</w:t>
      </w:r>
    </w:p>
    <w:p>
      <w:r>
        <w:rPr>
          <w:b/>
        </w:rPr>
        <w:t>E. 9.4</w:t>
      </w:r>
    </w:p>
    <w:p>
      <w:r>
        <w:t>Pour ces motifs, l'exécution du renvoi doit être considérée comme raisonnablement exigible.</w:t>
      </w:r>
    </w:p>
    <w:p>
      <w:r>
        <w:rPr>
          <w:b/>
        </w:rPr>
        <w:t>E. 10</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Il incombe donc au recourant d'entreprendre toute démarche nécessaire auprès de la représentation de son pays d'origine en vue de l'obtention de documents de voyage lui permettant de quitter la Suisse.</w:t>
      </w:r>
    </w:p>
    <w:p>
      <w:r>
        <w:rPr>
          <w:b/>
        </w:rPr>
        <w:t>E. 11.1</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sa demande de dispense de paiement des frais de procédure a été admise. Il n'est, par conséquent, pas perçu de frais de procédure.</w:t>
      </w:r>
    </w:p>
    <w:p>
      <w:r>
        <w:rPr>
          <w:b/>
        </w:rPr>
        <w:t>E. 11.2</w:t>
      </w:r>
    </w:p>
    <w:p>
      <w:r>
        <w:t>Par décision incidente du 19 janvier 2017, Michael Pfeiffer a été désigné mandataire d'office dans la présente procédure. Par conséquent, en l'absence d'un décompte de prestations, il y a lieu de lui accorder, à titre d'honoraires et de débours, une indemnité de 600 francs, tous frais et taxes compris (cf. art. 8 à 11 FITAF, applicables par analogie conformément à l'art. 12 FITAF), calculée sur la base du tarif horaire applicable aux représentants n'étant pas titulaire du brevet d'avocat (cf. art. 12 en rapport avec l'art. 10 al. 2 FITAF et décision incidente du 19 janvier 2017).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