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E-3268/2020 vom 16. Juli 2020</w:t>
      </w:r>
    </w:p>
    <w:p>
      <w:r>
        <w:t>Bundesverwaltungsgericht, 2020-07-16, DE</w:t>
      </w:r>
    </w:p>
    <w:p>
      <w:r>
        <w:rPr>
          <w:b/>
        </w:rPr>
        <w:t xml:space="preserve">Quelle: </w:t>
      </w:r>
      <w:r>
        <w:t>https://mcp.opencaselaw.ch/entscheid/bvger_E-3268_2020</w:t>
      </w:r>
    </w:p>
    <w:p>
      <w:r>
        <w:t>FR: TAF E-3268/2020 du 16 juillet 2020</w:t>
      </w:r>
    </w:p>
    <w:p>
      <w:r>
        <w:t>IT: TAF E-3268/2020 del 16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Formelle Gründe für die Rückweisung der Sache an die Vorinstanz sind nicht erkennbar. Der Sachverhalt wurde von der Vorinstanz rechtsgenüglich ermittelt. Eine ergänzende Anhörung des Beschwerdeführers ist nicht angezeigt. Das diesbezüglich gestellte Eventualbegehren (Ziff. 3), welches nicht näher begründet wird, ist damit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kam in der angefochtenen Verfügung zum Schluss, die Vorbringen des Beschwerdeführers würden den Anforderungen an die Glaubhaftigkeit gemäss Art. 7 AsylG nicht standhalten, so dass deren Asylrelevanz nicht geprüft werden müsse.</w:t>
      </w:r>
    </w:p>
    <w:p>
      <w:r>
        <w:rPr>
          <w:b/>
        </w:rPr>
        <w:t>E. 6.2</w:t>
      </w:r>
    </w:p>
    <w:p>
      <w:r>
        <w:t>Zur Begründung hielt sie fest, der Beschwerdeführer habe im Verlaufe des Verfahrens zu wesentlichen Punkten unterschiedliche Angaben gemacht. Diverse seiner Angaben seien widersprüchlich gewesen. So habe er an der BzP ausgesagt, er habe mit zwei Personen zusammengewohnt und an der Anhörung angegeben, er habe alleine gelebt. An der BzP habe er ausdrücklich erklärt, er habe nach der Teilnahme an der Demonstration fliehen können und sei nie in Haft gewesen. An der Anhörung hingegen habe er angegeben, er sei verhaftet und misshandelt worden. Die Tatsache, dass es für ihn schwierig gewesen sei, über die Erlebnisse in der Haft zu berichten, erkläre nicht, wieso er die Haft bei der Erstbefragung nicht einmal ansatzweise erwähnt habe. An der BzP habe er angegeben, er sei zu 15 Jahren Haft verurteilt worden, an der Anhörung hingegen gesagt, es seien fünf Jahre. Ferner seien seine Aussagen unsubstantiiert gewesen. Seine Angaben zur Frage, wie lange er an einem unbekannten Ort inhaftiert gewesen sei, schwankten zwischen einem bis drei Tagen und auch bezüglich der Untersuchungshaft habe er vage Angaben gemacht und von ein oder zwei Tagen gesprochen. Eine Person, die wirklich inhaftiert gewesen sei, vermöchte die Haftdauer genauer zu schildern. Er habe die Personen, die ihn verhört hätten, und die Haftumstände (Schreie, Aussagen) klischeehaft geschildert. Personen, welche die geltend gemachten Ereignisse tatsächlich erlebt hätten, könnten die Vorkommnisse differenzierter schildern. Der Beschwerdeführer habe während seiner Schilderung spontan keine lebenstypischen Komplikationen erwähnt oder die Räume in irgendeiner Weise neutral beschreiben können, was untypisch sei für Personen, die wirklich in Haft gewesen seien. Weiter wisse er weder, vor welchem Gericht er gestanden sei, noch habe er den Namen seines Anwalts nennen können. Zudem seien seine Aussagen logisch nicht nachvollziehbar. Es werde bezweifelt, dass er es in der Haft gewagt habe, einen Beamten zu beleidigen. Da er angegeben habe, er sei an der Demonstration vor der Verhaftung geflüchtet, sei es nicht nachvollziehbar, dass er nicht gewusst habe, weshalb er verhaftet worden sei. Auch die Behauptung, am Ausgang des Gerichts habe ihm ein unbekannter Mann gedroht, es werde ihm schlecht ergehen, wenn er über das Erlebte berichte, sowie, dass er aus Mitleid freigelassen worden sei beziehungsweise, dass er die Gründe für die Freilassung nicht kenne, müsse als realitätsfremd betrachtet werden.</w:t>
      </w:r>
    </w:p>
    <w:p>
      <w:r>
        <w:rPr>
          <w:b/>
        </w:rPr>
        <w:t>E. 6.3</w:t>
      </w:r>
    </w:p>
    <w:p>
      <w:r>
        <w:t>Zur eingereichten Kopie eines Gerichtsurteils sei festzuhalten, dass solche Urteile, insbesondere Kopien, leicht käuflich erwerbbar seien. Bezeichnenderweise könne er kaum etwas über die Umstände sagen, unter welchen er beziehungsweise sein Anwalt dieses Dokument erhalten habe. Bezüglich der Frage nach dem Original habe er sich in Widersprüche verwickelt. Es sei zu bezweifeln, dass er freigelassen worden wäre, falls tatsächlich gravierende Vorwürfe gegen ihn im Raum gestanden hätten. In Abwägung mit seinen Aussagen komme dem Dokument deshalb kein Beweiswert zu.</w:t>
      </w:r>
    </w:p>
    <w:p>
      <w:r>
        <w:rPr>
          <w:b/>
        </w:rPr>
        <w:t>E. 7.1</w:t>
      </w:r>
    </w:p>
    <w:p>
      <w:r>
        <w:t>Nach Prüfung der Akten schliesst sich das Bundesverwaltungsgericht den Erwägungen der Vorinstanz an, weshalb - zwecks Vermeidung von Wiederholungen - auf diese verwiesen werden kann. Ergänzend ist folgendes festzuhalten:</w:t>
      </w:r>
    </w:p>
    <w:p>
      <w:r>
        <w:rPr>
          <w:b/>
        </w:rPr>
        <w:t>E. 7.2</w:t>
      </w:r>
    </w:p>
    <w:p>
      <w:r>
        <w:t>Der Beschwerdeführer erklärt in der Rechtsmitteleingabe, die BzP sei kurz gewesen und zudem sei er zunächst unentschlossen gewesen, über seine eigentlichen Asylgründe zu sprechen. Der Beschwerdeführer wurde bereits zu Beginn der BzP darauf hingewiesen, er habe im Asylverfahren eine Mitwirkungspflicht und trage eine grosse Verantwortung für seine Aussagen. Für das, was er sage, aber auch für das, was er verheimliche. Gestützt auf seine Angaben werde der Asylentscheid getroffen. Ungenaue, lückenhafte, widersprüchliche oder falsche Angaben sowie gefälschte Dokumente wirkten sich negativ auf den Entscheid aus. Vor diesem Hintergrund ist seine Angabe, er habe eigentlich nicht darüber sprechen wollen, als Schutzbehauptung zu beurteilen, und es erscheint auch dem Gericht nicht nachvollziehbar, dass er nicht zumindest kurz erwähnte, er sei in Haft gewesen. Die Schilderung zur Haft und zu den erlebten Misshandlungen sind daher als nachgeschoben und damit nicht als glaubhaft zu beurteilen. Die zahlreichen Abweichungen, welche die Vorinstanz in ihrer Verfügung im Einzelnen aufzeigte, können denn auch nicht mit der angeblichen kurzen Dauer der BzP erklärt werden. Die BzP dauerte von 9.00 bis 10.50 Uhr. Damit ist sie nicht als kurz zu betrachten und zudem geht aus dem Protokoll hervor, dass dem Beschwerdeführer einerseits ausreichend Gelegenheit gegeben wurde, über seine Asylgründe zu sprechen (SEM-Akte A6/13 Ziff. 7.01), und ihm andererseits auch vertiefende Fragen dazu gestellt wurden (Ziff. 7.02). In der Beschwerde wird angeführt, aufgrund der an der Anhörung anwesenden Frauen habe der Beschwerdeführer zurückhaltend über die extrem belastenden schambehafteten Erlebnisse berichtet. Nachdem der Beschwerdeführer darauf hingewiesen worden war, dass er ein Anrecht auf eine Anhörung in einem geschlechtsspezifischen Team habe, gab er jedoch an, dies stelle für ihn kein Problem dar (SEM-Akte A18/22 F47). Da sich im Protokoll keine Hinweise dafür finden lassen, dass es dem Beschwerdeführer aufgrund des Settings nicht möglich gewesen wäre, über seine Erlebnisse zu berichten, kann die Anwesenheit von Frauen an der Anhörung nicht als Erklärung für die mangelnde Substanz seiner Ausführungen dienen. Die in der Beschwerde angeführte angebliche Traumatisierung des Beschwerdeführers war bis anhin nie angesprochen worden und es finden sich auch keine Hinweise dafür in den Akten. Die behaupteten Konzentrationsschwierigkeiten sind weder im Protokoll der BzP noch in demjenigen der Anhörung erwähnt. Der Beschwerdeführer hat sich denn auch nicht in medizinische Behandlung gegeben; solches ist jedenfalls nicht aktenkundig. Somit ist auch dieser Einwand als Schutzbehauptung zu betrachten. In der Beschwerde wird weiter angeführt, bei den Angaben des Beschwerdeführers zu seiner Wohnsituation handle es sich um ein Missverständnis und nicht um einen Widerspruch. Er habe angegeben, mit zwei weiteren Personen zusammengewohnt zu haben. Als er aufgesucht worden sei, sei er indes alleine zuhause gewesen. Bei Frage 50 der Anhörung erklärte der Beschwerdeführer: « [...] Ich wohnte ja alleine.» (SEM-Akte A18/22), wohingegen er an der BzP aussagte, er habe mit zwei drei Leuten zusammengelebt beziehungsweise seien sie zu Dritt gewesen (SEM-Akte A6/13 Ziff. 2.01). Die Aussagen des Beschwerdeführers lassen keinen Interpretationsspielraum zu und die angebotene Erklärung überzeugt damit nicht. Aufgrund der zahlreichen Ungereimtheiten und der unsubstantiierten Aussagen erscheint es insgesamt nicht glaubhaft, dass der Beschwerdeführer vor seiner Ausreise inhaftiert und in der angegebenen Weise misshandelt worden ist. Obwohl auch bereits die Vorinstanz einräumte, es könne nicht ausgeschlossen werden, dass sich solche Ereignisse in iranischen Gefängnissen zutrügen, sind die Schilderungen des Beschwerdeführers als unsubstantiiert und oberflächlich zu erachten und lassen einen individuellen Bezug weitgehend vermissen. Ferner leuchtet nicht ein, weshalb der Beschwerdeführer das Gerichtsurteil nur als Kopie beziehungsweise Ausdruck eines Fotos eingereicht hat, wenn gemäss seinen Angaben entweder sein Schwager (SEM-Akte A18/22 F96), ein Freund (F7) oder sein Anwalt eine beglaubigte Kopie (F93) davon besitzt.</w:t>
      </w:r>
    </w:p>
    <w:p>
      <w:r>
        <w:rPr>
          <w:b/>
        </w:rPr>
        <w:t>E. 7.3</w:t>
      </w:r>
    </w:p>
    <w:p>
      <w:r>
        <w:t>Anlässlich der Anhörung gab der Beschwerdeführer an, er arbeite in der Schweiz mit Menschenrechtsorganisationen zusammen (SEM-Akte A18/22 F55 ff.). Er war sich unsicher, ob dies überhaupt als politische Tätigkeit zu erachten sei und gab zudem an, er habe «aktuell» keine Zeit, an den Sitzungen teilzunehmen (F116). Soweit er nun in der Beschwerde erwähnt, er nehme regelmässig an den Sitzungen der Vereinigung zur Verteidigung der Menschenrechte im Iran teil, ist dieses Engagement als niederschwellig zu bezeichnen, zumal er die Aktivitäten denn auch in keinerlei Hinsicht präzisiert. Das Gericht geht davon aus, dass die iranischen Sicherheitsbehörden durchaus in der Lage sind, zwischen politisch engagierten iranischen Staatsangehörigen, die das Regime zu gefährden vermögen, und exilpolitisch engagierten Personen, die es geradezu darauf anlegen, sich durch ihre Aktionen bekannt zu machen, zu unterscheiden. Es ist anzunehmen,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(vgl. BVGE 2009/28 E. 7.4.3; vgl. auch das Referenzurteil D-830/2016 vom 20. Juli 2016 und statt vieler zuletzt D-771/2020 vom 4. Juni 2020 E. 6.2). Die Prüfung, ob jemand aufgrund seiner Aktivitäten gefährdet scheint, hat stets im Einzelfall aufgrund konkreter Umstände zu erfolgen. Beim Beschwerdeführer, bei welchem ohnehin fraglich ist, inwiefern er sich überhaupt exilpolitisch engagiert, liegen keine Anhaltspunkte dafür vor, dass er im Iran als Regimekritiker ins Blickfeld der iranischen Behörden geraten wäre und einer Gefährdung im Sinne von Art. 3 AsylG ausgesetzt sein könnte.</w:t>
      </w:r>
    </w:p>
    <w:p>
      <w:r>
        <w:rPr>
          <w:b/>
        </w:rPr>
        <w:t>E. 7.4</w:t>
      </w:r>
    </w:p>
    <w:p>
      <w:r>
        <w:t>Nach dem Gesagten hat die Vorinstanz die Flüchtlingseigenschaft des Beschwerdeführers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genannten Voraussetzungen sind vorliegend nicht erfüllt. Die Vorinstanz hat in der angefochtenen Verfügung (vgl. E. III) zutreffend erkannt, dass der in Art. 5 AsylG verankerte Grundsatz der Nichtrückschiebung mangels Erfüllung der Flüchtlingseigenschaft keine Anwendung findet und keine anderweitigen völkerrechtlichen Vollzugshindernisse erkennbar sind. Auf Beschwerdeebene werden keine neuen Vollzugshindernisse geltend gemacht. Es ist damit in Übereinstimmung mit der Vorinstanz nicht davon auszugehen, dass der Beschwerdeführer bei einer Rückkehr in den Iran in eine existenzielle Notlage geraten würde. Der Vollzug der Wegweisung erweist sich damit als zulässig und zumutbar.</w:t>
      </w:r>
    </w:p>
    <w:p>
      <w:r>
        <w:rPr>
          <w:b/>
        </w:rPr>
        <w:t>E. 9.3</w:t>
      </w:r>
    </w:p>
    <w:p>
      <w:r>
        <w:t>In der Beschwerde wurde beantragt, der Vollzug der Wegweisung sei einstweilen zu stoppen, da die Ausschaffung in den Iran in absehbarer Zeit nicht möglich sei. Dieser Antrag wird nicht weiter begründet. Sollte sich der Beschwerdeführer damit auf die durch die Corona-Pandemie bestehende Situation bezogen haben, ist dazu festzuhalten, dass diese dem Wegweisungsvollzug nicht entgegensteht.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bei den Vollzugsmodalitäten durch die kantonalen Behörden Rechnung zu tragen ist, indem etwa der Zeitpunkt des Vollzugs der Situation im Heimatland angepasst wird.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Angesichts des Umstands, dass sich die Rechtsbegehren als aussichtslos erwiesen haben, ist das Gesuch um Gewährung der unentgeltlichen Rechtspflege (Art. 65 Abs. 1 VwVG) abzuweisen.</w:t>
      </w:r>
    </w:p>
    <w:p>
      <w:r>
        <w:rPr>
          <w:b/>
        </w:rPr>
        <w:t>E. 11.2</w:t>
      </w:r>
    </w:p>
    <w:p>
      <w:r>
        <w:t>Das Gesuch um Verzicht auf die Erhebung eines Kostenvorschusses wird mit dem vorliegenden Urteil gegenstandslos.</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