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E-3260/2021 vom 30. Juli 2021</w:t>
      </w:r>
    </w:p>
    <w:p>
      <w:r>
        <w:t>Bundesverwaltungsgericht, 2021-07-30, DE</w:t>
      </w:r>
    </w:p>
    <w:p>
      <w:r>
        <w:rPr>
          <w:b/>
        </w:rPr>
        <w:t xml:space="preserve">Quelle: </w:t>
      </w:r>
      <w:r>
        <w:t>https://mcp.opencaselaw.ch/entscheid/bvger_E-3260_2021</w:t>
      </w:r>
    </w:p>
    <w:p>
      <w:r>
        <w:t>FR: TAF E-3260/2021 du 30 juillet 2021</w:t>
      </w:r>
    </w:p>
    <w:p>
      <w:r>
        <w:t>IT: TAF E-3260/2021 del 30 luglio 2021</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 der Verordnung über Massnahmen im Asylbereich im Zusammenhang mit dem Coronavirus vom 1. April 2020 [Covid-19-Verordnung Asyl, SR 142.318]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u.H.a. Entscheidungen und Mitteilungen der Schweizerischen Asylrekurskommission [EMARK] 1994 Nr. 5 E. 3h; vgl. ausserdem EMARK 1994 Nr. 17).</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führt die Vorinstanz aus, gemäss Praxis des Bundesverwaltungsgerichts sei im Zusammenhang mit der Türkei nur bei Vorliegen von besonderen Umständen von flüchtlingsrechtlich relevanter Reflexverfolgung auszugehen. Aus den Vorbringen des Beschwerdeführers werde nicht ersichtlich, dass solche besonderen Umstände vorliegen würden. Er und sein Bruder seien bloss für die in der Türkei legale HDP tätig gewesen, ohne sich dabei nennenswert exponiert zu haben. Ferner sei er seit seiner Ausreise nicht mehr von den Behörden gesucht worden. Die geltend gemachten Verfolgungsmassnahmen gäben kein Anlass zu begründeter Furcht vor flüchtlingsrechtlich relevanter Verfolgung. Sodann falle auf, dass er Geschehnisse öfters nachschiebe und die im Rahmen der Stellungnahme geltend gemachte Zustellung einer Vorladung an den Vater vor dem Hintergrund dieses Aussageverhaltens zu würdigen sei. Im Zusammenhang mit seiner geltend gemachten exilpolitischen Tätigkeit bestünden unter anderem keine Anhaltspunkte dafür, die heimatlichen Behörden hätten davon Kenntnis erhalten.</w:t>
      </w:r>
    </w:p>
    <w:p>
      <w:r>
        <w:rPr>
          <w:b/>
        </w:rPr>
        <w:t>E. 5</w:t>
      </w:r>
    </w:p>
    <w:p>
      <w:r>
        <w:t>In der Rechtsmitteleingabe macht der Beschwerdeführer geltend, die Vorinstanz habe die polizeilichen Mitnahmen und Befragungen durch die türkische Polizei nicht in ihre Beurteilung einbezogen. Auch habe sie seine psychische Verfassung nicht berücksichtigt und die eingereichten beziehungsweise angebotenen Beweismittel vollständig unberücksichtigt gelassen. Dadurch habe die Vorinstanz seinen Anspruch auf Gewährung des rechtlichen Gehörs sowie ihre Pflicht zur sorgfältigen und vollständigen Sachverhaltsabklärung verletzt. Sodann sei zu berücksichtigen, dass er im Zeitpunkt der polizeilichen Behelligungen (...) oder (...) Jahre alt gewesen sei. Insbesondere die ausgesprochene Todesdrohung habe einen gravierenden Effekt auf ihn gehabt und die aus den Behelligungen resultierenden Leiden seien im Zusammenhang mit der Einschätzung der Verfolgungsintensität sowie der begründeten Furcht vor weiterer Verfolgung angemessen zu würdigen. Da in der Türkei unzählige HDP-Mitglieder verhaftet und gefoltert worden seien, habe er die gegenüber ihm ausgesprochenen behördlichen Drohungen sehr ernst genommen und im Zeitpunkt seiner Ausreise begründete Furch vor weiteren Behelligungen gehabt. Nach seinem Bruder werde in der Türkei nach wie vor gefahndet und er selber habe sich mittlerweile exilpolitisch engagiert.</w:t>
      </w:r>
    </w:p>
    <w:p>
      <w:r>
        <w:rPr>
          <w:b/>
        </w:rPr>
        <w:t>E. 6.1</w:t>
      </w:r>
    </w:p>
    <w:p>
      <w:r>
        <w:t>Die vom Beschwerdeführer erhobenen formellen Rügen der Verletzung des rechtlichen Gehörs sowie der unrichtigen Sachverhaltserstellung sind vorab zu behandeln, da sie geeignet sein könnten, eine Kassation der vorinstanzlichen Verfügung zu bewirken. Soweit in der Rechtsmitteleingabe vorgebracht wird, die Vorinstanz habe bei ihrer Prüfung die Ausführungen betreffend Mitnahme und Befragung durch die Polizei sowie die eingereichten Beweismittel nicht gewürdigt, ist festzuhalten, dass die Vorinstanz das erwähnte Vorbringen sowie auch diejenigen, auf welche sich die Beweismittel beziehen, zumindest implizit als wahr unterstellte (vgl. S. 4 Absatz 3 der angefochtenen Verfügung). Insofern kann deshalb nicht festgestellt werden, dass Vorbringen oder Beweismittel in Bezug auf die Tatfrage nicht in genügender Weise gewürdigt worden seien. Sofern der Beschwerdeführer der Auffassung ist, die Vorinstanz gehe aufgrund der gegebenen Sachverhaltselemente zu Unrecht nicht von seiner Flüchtlingseigenschaft aus, ist - als Frage der materiellen Würdigung - auf das unter den nachfolgenden Erwägungen Ausgeführte zu verweisen. Im Umstand, dass die Vorinstanz bei ihrer Einschätzung primär auf objektive Gesichtspunkte und nicht in erster Linie auf die vom Beschwerdeführer geltend gemachte subjektive Furcht abstellte - seine geltend gemachte psychische Verfassung kann sich bis zum heutigen Zeitpunkt auf keine medizinischen Unterlagen stützen -, ist sodann keine Verletzung von Verfahrensrechten zu erblicken.</w:t>
      </w:r>
    </w:p>
    <w:p>
      <w:r>
        <w:rPr>
          <w:b/>
        </w:rPr>
        <w:t>E. 6.2</w:t>
      </w:r>
    </w:p>
    <w:p>
      <w:r>
        <w:t>In einer ersten Phase der Anhörung (vgl. SEM-Akten A23/18, F59 ff.) führte der Beschwerdeführer im Kern aus, aufgrund des politischen Profils des Bruders sei im Jahre 20(...) zweimal, im Abstand von drei Monaten, eine Durchsuchung des Elternhauses durchgeführt worden, wobei er bei diesen Anlässen keinen besonderen Kontakt zu den Beamten gehabt habe beziehungsweise vor allem die Eltern behelligt worden seien (a.a.O. F72). Im Oktober 20(...) sei er dann auf dem Nachhauseweg von zwei Zivilbeamten auf der Strasse nach dem Bruder befragt und massiv bedroht worden, weshalb er um sein Leben fürchte. Soweit die Vorinstanz diesen von ihr implizit als wahr unterstellten Sachverhalt als flüchtlingsrechtlich nicht relevant betrachtet, ist diese Einschätzung nicht zu beanstanden. Auch unter dem bereits von der Vorinstanz berücksichtigten Umstand, dass Personen, denen eine gewisse Nähe zu pro-kurdischen Parteien (wie die HDP; vgl. dazu S. 3 f. der angefochtenen Verfügung) nachgesagt wird, im Fokus der türkischen Behörden stehen können, ist festzustellen, dass der Beschwerdeführer gemäss dem oben geschilderten Sachverhalt vom Zeitpunkt der Flucht des Bruders im Jahre 20(...) bis zu seiner eigenen Ausreise im Jahre 20(...), mithin während eines Jahres, genau einmal von den Behörden wegen seines Bruders direkt und persönlich angegangen wurde. Sodann verstrichen zwischen diesem Ereignis und der Ausreise nochmals mehrere Monate, ohne dass es zu weiteren Behelligungen gekommen wäre. Der Beschwerdeführer bringt zwar vor, er habe diese Zeit, mit einer Ausnahme, immer im Haus verbracht (a.a.O. F76), jedoch kann angenommen werden, die Behörden hätten sich bei einem tatsächlichen Interesse an seiner Person nicht von einer weiteren Hausrazzia abhalten lassen. Zudem ist festzustellen, dass nach den Hausrazzien im Jahre 20(...) bis zur Ausreise im Februar 20(...) weder die Eltern noch seine Geschwister weiter behelligt wurden. Unter den Geschwistern scheint er überhaupt der einzige zu sein, welcher jemals direkt und persönlich von den Behörden angegangen wurde. Aus dem vom Beschwerdeführer Geschilderten ist jedenfalls nicht von einem erheblichen behördlichen Interesse an seiner Person und mithin nicht von weiteren Behelligungen in flüchtlingsrechtlich relevanten Ausmass auszugehen. Dass er aufgrund von Todesdrohungen psychisch destabilisiert sein soll, ist bis heute durch keine entsprechenden ärztlichen Berichte untermauert und er könnte - entgegen seiner Auffassung - diesbezüglich auch in seinem Heimatland behandelt werden beziehungsweise hätte er sich dort bereits behandeln lassen können. Seine nicht näher belegte Mitgliedschaft bei der HDP seit 20(...) dürfte sein Profil ferner nicht auf wesentliche Art geschärft haben, hatte er doch seit 20(...) - bis dahin habe er als Nichtmitglied an Demonstrationen teilgenommen, ohne deshalb in den Fokus der Behörden geraten zu sein - keine nennenswerten Tätigkeiten für die Partei ausgeführt (vgl. a.a.O. F116 ff) und sich folglich nicht in exponierender Weise engagiert.</w:t>
      </w:r>
    </w:p>
    <w:p>
      <w:r>
        <w:rPr>
          <w:b/>
        </w:rPr>
        <w:t>E. 6.3</w:t>
      </w:r>
    </w:p>
    <w:p>
      <w:r>
        <w:t>Der Beschwerdeführer wurde sodann anlässlich der Anhörung ausdrücklich danach gefragt, ob es zutreffe, dass er nur einmal von Zivilpolizisten persönlich angesprochen und bedroht worden sei, was er bejahte (vgl. a.a.O. F83). Auf die Frage, weshalb in der anwaltlich verfassten Strafanzeige an die (...) Staatsanwaltschaft, in welcher die Behelligungen des Beschwerdeführers geschildert werden, von mehrmaliger systematischer Bedrohung und Entführung die Rede sei, erklärt der Beschwerdeführer, er sei ja von den Polizisten auf dem Nachhauseweg damals etwas aus dem Quartier weggebracht worden (vgl. a.a.O. F85). Nachdem er erneut gefragt wurde, ob er sonst je Schwierigkeiten mit Behörden, Organisationen oder Privatpersonen im Heimaltland hatte, verneinte der Beschwerdeführer abermals, dass es ausser dem bereits Geschilderten zu Zwischenfällen gekommen sei (vgl. a.a.O. F109). Zu einem späteren Zeitpunkt macht der Beschwerdeführer dann jedoch geltend, er habe auch wegen seinem Engagement für die HDP Probleme gehabt. Anlässlich der Hausrazzia hätten ihm die Polizisten gesagt, sie würden ihn deshalb nicht mehr in Ruhe lassen. Ausserdem sei er vor der Ausreise des Bruders nach F._______ zusammen mit diesem in eine Auseinandersetzung mit der Polizei geraten (vgl. a.a.O. F123 ff.). Auf spätere Fragen der Rechtsvertretung hin bringt er zusätzlich noch vor, er sei auch einmal in einem Polizeiauto auf den Posten verschleppt und zum Bruder befragt worden, wobei er sich bezüglich der zeitlichen Einordnung des Ereignisses nicht völlig klar äussert (vgl. a.a.O. F146 und F149). Diese nachträglichen Vorbringen stehen teilweise in klarem Widerspruch zu vorangegangen Aussagen. Sodann fällt auf, dass wesentliche Elemente - zum Beispiel die Mitnahme auf den Polizeiposten - erst auf Nachfrage vorgebracht worden sind (vgl. a.a.O. F138; vgl. dazu auch die diesbezüglichen Vorbehalte der Vorinstanz, S. 5 der angefochtenen Verfügung). Die Schilderungen wirken insgesamt als nachgeschoben und im Ergebnis als unglaubhaft. Auch ist festzuhalten, dass aufgrund seiner Ausführungen betreffend die polizeiliche Auseinandersetzung, welche er und sein Bruder vor dessen Ausreise nach F._______ gehabt hätten, nicht davon auszugehen ist, er sei deshalb aktenkundig geworden (gemäss seinen Schilderungen sei er geschlagen und sodann aufgefordert worden, sich zu entfernen, vgl. a.a.O. F126). Sodann würde der Umstand, dass der Beschwerdeführer einmal im Jahre 20(...) und einmal im Jahre 20(...) persönlich zu seinem Bruder einvernommen worden wäre, nicht dazu führen, dass von einer - im Vergleich zum ursprünglich geschilderten Sachverhalt - wesentlichen Erhöhung der Gefahr zukünftiger flüchtlingsrechtlich relevanter Behelligungen auszugehen wäre. Daran vermag auch das eingereichte Factsheet Türkei der Schweizerischen Flüchtlingshilfe vom März 2021 nichts zu ändern. Abschliessend ist hinzuzufügen, dass der Beschwerdeführer aus den nur unsubstantiiert vorgebrachten neuen Behelligung des Vaters im Juni 20(...) (gemäss Stellungnahme zum Entscheidentwurf habe er eine Vorladung erhalten [vgl. SEM-Akten A26/17], gemäss Beschwerdeschrift [S. 11] sei er zum Aufenthaltsort des Beschwerdeführers befragt worden), welche ferner durch keine Unterlagen belegt sind, sowie aus der einmaligen Teilnahme an einer Demonstration in der Schweiz nichts zu seinen Gunsten abzuleiten vermag.</w:t>
      </w:r>
    </w:p>
    <w:p>
      <w:r>
        <w:rPr>
          <w:b/>
        </w:rPr>
        <w:t>E. 7</w:t>
      </w:r>
    </w:p>
    <w:p>
      <w:r>
        <w:t>Aufgrund des Ausgeführten ist festzuhalten, dass die Vorinstanz die Flüchtlingseigenschaft des Beschwerdeführers zu Recht verneint und sein Asylgesuch abgelehnt hat.</w:t>
      </w:r>
    </w:p>
    <w:p>
      <w:r>
        <w:rPr>
          <w:b/>
        </w:rPr>
        <w:t>E. 8</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Weder aus den Aussagen des Beschwerdeführers noch aus den Akten ergeben sich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was vorliegend nicht der Fall ist.</w:t>
      </w:r>
    </w:p>
    <w:p>
      <w:r>
        <w:rPr>
          <w:b/>
        </w:rPr>
        <w:t>E. 9.2.2</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türkisch-kurdischen Konfliktes sowie der bewaffneten Auseinandersetzungen zwischen der kurdischen Arbeiterpartei (PKK) und staatlichen Sicherheitskräften seit Juli 2015 in verschiedenen Provinzen im Südosten des Landes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Urteile des BVGer E-3544/2020 vom 13. Juli 2021 E. 7.3.1 und E-1716/2020 vom 22. April 2020 E. 7.4.1, je m.w.H.).</w:t>
      </w:r>
    </w:p>
    <w:p>
      <w:r>
        <w:rPr>
          <w:b/>
        </w:rPr>
        <w:t>E. 9.3.2</w:t>
      </w:r>
    </w:p>
    <w:p>
      <w:r>
        <w:t>Beim Beschwerdeführer handelt es sich um einen jungen Mann, der in seinem Heimatland über ein tragfähiges familiäres Netzwerk sowie Arbeitserfahrung verfügt. Es ist davon auszugehen, dass er sich in sozialer und wirtschaftlicher Hinsicht nach der kurzen Abwesenheit rasch wieder zurechtfinden wird. Die geltend gemachten psychischen und physischen Leiden sind - wie bereits ausgeführt - nicht belegt und auch in der Türkei behandelbar.</w:t>
      </w:r>
    </w:p>
    <w:p>
      <w:r>
        <w:rPr>
          <w:b/>
        </w:rPr>
        <w:t>E. 9.3.3</w:t>
      </w:r>
    </w:p>
    <w:p>
      <w:r>
        <w:t>Nach dem Gesagten erweist sich der Wegweisungsvollzug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Das mit Eingabe vom 15. Juli 2021 gestellte Gesuch um unentgeltliche Rechtspflege ist vorliegend gutzuheissen, da die in der Rechtsmitteleingabe gestellten materiellen Anträge nicht von vornherein als aussichtlos zu qualifizieren waren und aufgrund der Akten von der Bedürftigkeit des Beschwerdeführers ausgegangen werden kann. Das Gesuch um Verzicht auf Erhebung eines Kostenvorschusses wird mit vorliegendem Entscheid nachträglich gegenstandslos.</w:t>
      </w:r>
    </w:p>
    <w:p>
      <w:r>
        <w:rPr>
          <w:b/>
        </w:rPr>
        <w:t>E. 11.2</w:t>
      </w:r>
    </w:p>
    <w:p>
      <w:r>
        <w:t>Die Vertretungskosten lassen sich aufgrund der Akten zuverlässig abschätzen (Art. 14 Abs. 2 des Reglements vom 21. Februar 2008 über die Kosten und Entschädigungen vor dem Bundesverwaltungsgericht (VGKE, SR 173.320.2). Gestützt auf die in Betracht zu ziehenden Bemessungsfaktoren (Art. 9-13 VGKE) ist ein amtliches Honorar in der Höhe von Fr. 1'500.-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