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E-3257/2020 vom 18. September 2020</w:t>
      </w:r>
    </w:p>
    <w:p>
      <w:r>
        <w:t>Bundesverwaltungsgericht, 2020-09-18, DE</w:t>
      </w:r>
    </w:p>
    <w:p>
      <w:r>
        <w:rPr>
          <w:b/>
        </w:rPr>
        <w:t xml:space="preserve">Quelle: </w:t>
      </w:r>
      <w:r>
        <w:t>https://mcp.opencaselaw.ch/entscheid/bvger_E-3257_2020</w:t>
      </w:r>
    </w:p>
    <w:p>
      <w:r>
        <w:t>FR: TAF E-3257/2020 du 18 septembre 2020</w:t>
      </w:r>
    </w:p>
    <w:p>
      <w:r>
        <w:t>IT: TAF E-3257/2020 del 18 settembre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fristgerecht eingereicht worden. Mit der Nachreichung der Originalunterschrift der Beschwerdeführerin im Rahmen der Beschwerdeverbesserung erfüllt die Beschwerdeschrift auch die Formerfordernisse.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Die Behandlung der vorliegenden Beschwerde wird aufgrund der sachlichen und persönlichen Nähe insofern mit derjenigen der Eltern der Beschwerdeführerin koordiniert, als darüber im selben Spruchkörper entschieden wird und das Urteil mit gleichem Datum ergeht.</w:t>
      </w:r>
    </w:p>
    <w:p>
      <w:r>
        <w:rPr>
          <w:b/>
        </w:rPr>
        <w:t>E. 4</w:t>
      </w:r>
    </w:p>
    <w:p>
      <w:r>
        <w:t>Gestützt auf Art. 111a Abs. 1 AsylG wurde auf die Durchführung eines Schriftenwechsels verzichtet.</w:t>
      </w:r>
    </w:p>
    <w:p>
      <w:r>
        <w:rPr>
          <w:b/>
        </w:rPr>
        <w:t>E. 5</w:t>
      </w:r>
    </w:p>
    <w:p>
      <w:r>
        <w:t>Streitig und zu prüfen ist die Flüchtlingseigenschaft der Beschwerdeführerin und gegebenenfalls die Asylgewährung. Falls kein Asyl zu gewähren ist, ist im Weiteren gegebenenfalls die Wegweisung zu prüfen.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der Be-schwerdeführerin.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7.1</w:t>
      </w:r>
    </w:p>
    <w:p>
      <w:r>
        <w:t>Zur Begründung der fehlenden Flüchtlingseigenschaft und der Ablehnung des Asylgesuches führt die Vorinstanz zunächst im Wesentlichen aus, das Asylgesuch der Eltern der Beschwerdeführerin sei mit Verfügung des SEM vom 25. Mai 2020 abgelehnt und eine vorläufige Aufnahme angeordnet worden. Da die Vorbringen ihrer Eltern als unglaubhaft qualifiziert worden seien, bestehe in Ermangelung der Verfolgungssituation ihrer Eltern kein Anlass zur Annahme, dass sie bei einer Rückkehr nach Afghanistan einer asylrelevanten Verfolgung ausgesetzt wäre. Abgesehen davon wiesen die Vorbringen der Beschwerdeführerin ebenfalls Unglaubhaftigkeitselemente auf. So seien ihre Aussagen bezüglich des Überfalls im Iran zum einen widersprüchlich ausgefallen. Denn bei der BzP habe sie angegeben, als die zwei Männer ins Haus eingedrungen seien, sei ihre Familie noch nicht am Schlafen gewesen; sie selbst sei im Wohnzimmer am Lernen gewesen. Im Gegensatz dazu habe sie bei der Anhörung dargelegt, sie habe geschlafen, als die zwei Männer ins Haus gekommen seien. Weiter habe sie bei der BzP geltend gemacht, ihr Vater habe, nachdem die Nachbarn erschienen und die Männer geflüchtet seien, seinen Arbeitgeber angerufen. Bei der Anhörung habe sie hingegen gesagt, sie selber habe den Arbeitgeber ihres Vaters angerufen. Zum anderen habe sie den Überfall im Iran oberflächlich und undifferenziert sowie ohne jegliche Details oder inhaltliche Besonderheiten geschildert. Auch auf Nachfrage hin, habe sie auf stereotype Art und Weise das Gesagte ohne eine weiterführende Szene oder eine gefühlsbetone Aussage wiederholt. Es fehlten beispielsweise individualisierte Aussagen, welche ihre persönliche Betroffenheit oder ein persönlich gefärbtes Reaktionsmuster zum Ausdruck brächten. Auch als sie konkret nach ihren Empfindungen in diesem Moment gefragt worden sei, habe sie lediglich gesagt, sie habe gedacht, dass es sich bei den Männern um Diebe gehandelt habe. Aufgrund der unsubstantiierten und widersprüchlichen Vorbringen könne ihr nicht geglaubt werden, dass sie und ihre Familie seitens der angeblichen Feinde ihrer Eltern im Iran Verfolgungsmassnahmen ausgesetzt gewesen seien oder aus diesen Gründen in Afghanistan eine Verfolgung zu befürchten hätten. Aufgrund der Unglaubhaftigkeit der Vorbringen sei auch nicht davon auszugehen, dass sie in Afghanistan befürchten müsse, gesteinigt zu werden. Ihre Vorbringen hielten demnach den Anforderungen an die Glaubhaftigkeit gemäss Art. 7 AsylG nicht stand, so dass deren Asylrelevanz nicht geprüft werden müsse.</w:t>
      </w:r>
    </w:p>
    <w:p>
      <w:r>
        <w:rPr>
          <w:b/>
        </w:rPr>
        <w:t>E. 7.2</w:t>
      </w:r>
    </w:p>
    <w:p>
      <w:r>
        <w:t>In ihrer Beschwerdeschrift weist die Beschwerdeführerin unter dem Sachverhalt zunächst ergänzend darauf hin, dass sie sich aufgrund der traumatischen Erlebnisse im Iran und auf der Flucht zwischen Dezember 2017 und März 2018 von der kantonalen Fachstelle für (...) habe beraten lassen. In materieller Hinsicht hält sie an der Glaubhaftigkeit ihrer Vorbringen fest und verweist ergänzend auf die Beschwerde ihrer Eltern. Auf einzelne Einwände, wird in den folgenden Erwägungen eingegangen.</w:t>
      </w:r>
    </w:p>
    <w:p>
      <w:r>
        <w:rPr>
          <w:b/>
        </w:rPr>
        <w:t>E. 8</w:t>
      </w:r>
    </w:p>
    <w:p>
      <w:r>
        <w:t>Soweit die Beschwerdeführerin sinngemäss geltend macht, das SEM habe formelles Recht verletzt, indem es ihre «Belastungsstörung» nicht berücksichtigt habe, ist zunächst festzuhalten, dass sich aus den massgeblichen Protokollen keine Hinweise auf eine erhebliche psychische Beeinträchtigung der Beschwerdeführerin ergeben (vgl. A19 Ziff. 8.02, A21 F4), auch wenn sie an einer Stelle der Schilderungen offenbar geweint habe (vgl. A21 F13). Auch ist nicht ersichtlich, dass die befragenden Personen dem jugendlichen Alter der Beschwerdeführerin nicht Rechnung getragen hätten, vielmehr geht aus den Protokollen eine sorgfältige und korrekte Befragungsweise der damals (...)- (BzP) respektive (...)jährigen Beschwerdeführerin (Anhörung) hervor. Bezeichnenderweise war sie sehr gut in der Lage, umfassende Sachschilderungen zu machen (vgl. u.a. A21 F13). Vor diesem Hintergrund überzeugt auch ihr Einwand nicht, sie habe am Schluss der Anhörung, die ihr vom SEM angebotene Möglichkeit, noch weitere Sachen zu erzählen, abgelehnt, da die Erinnerung an den Überfall sehr belastend sei für sie, umso weniger als sie gleich zweimal klar zu Protokoll gab, sie habe alles sagen können (vgl. ebd. F73 und F75). Zwar muss nicht bezweifelt werden, dass die Beschwerdeführerin in jungen Jahren möglicherweise bereits schwierige Situationen erlebt hat, nicht zuletzt auch auf der Flucht als die Familie getrennt und sie mit ihrer Mutter und ihrer Schwester nach Afghanistan ausgeschafft worden sei. Dass die angefochtene Verfügung deswegen auf einem unvollständigen Sachverhalt basieren würde, ist aber nicht ersichtlich. Daran vermag auch das auf Beschwerdestufe eingereichte Schreiben der kantonalen Fachstelle für (...) vom 11. Juni 2020 nichts zu ändern. Es sind zusammenfassend keine Gründe ersichtlich, die eine Rückweisung der Angelegenheit an die Vorinstanz rechtfertigen würden. Der diesbezügliche Antrag ist abzuweisen.</w:t>
      </w:r>
    </w:p>
    <w:p>
      <w:r>
        <w:rPr>
          <w:b/>
        </w:rPr>
        <w:t>E. 9.1</w:t>
      </w:r>
    </w:p>
    <w:p>
      <w:r>
        <w:t>In materieller Hinsicht hat das SEM hat die Flüchtlingseigenschaft der Beschwerdeführerin zu Recht verneint und ihr Asylgesuch abgelehnt. Zu Recht ist das SEM insbesondere zum Schluss gelangt, nachdem die geltend gemachte Verfolgung ihrer Eltern in Afghanistan und basierend darauf im Iran nicht glaubhaft sei, bestehe auch kein Anlass zur Annahme, die Beschwerdeführerin sei bei einer Rückkehr nach Afghanistan asylrelevanten Nachteilen ausgesetzt. Die Einschätzung der Vorinstanz im Beschwerdeverfahren ihrer Eltern und Geschwister wird mit Urteil des BVGer von heute 18. September 2020 im Verfahren E-3253/2020 bestätigt; auf die dortige Erwägung 8.1 kann verwiesen werden. Ergänzend kann festgehalten werden, dass das SEM zu Recht auch in den Aussagen der Beschwerdeführerin Widersprüche zum Überfall durch Familienmitglieder der Mutter erkannt hat. Auf die entsprechenden Erwägungen in der angefochtenen Verfügung kann verwiesen werden (vgl. oben E. 7.1 zweiter Abschnitt). Mit dem Einwand, sie habe sich im Zeitpunkt der BzP erst seit kurzem in der Schweiz aufgehalten, sei damals noch jung gewesen und psychisch belastet, vermag die Beschwer-deführerin diese sich stark widersprechenden Angaben nicht zu erklären. Auch der Hinweis, sie habe durchaus Emotionen gezeigt, was als Realkennzeichen zu werten sei, vermag nichts zu bewirken. Wie bei der Beurteilung der Beschwerde ihrer Eltern bereits ausgeführt, ist im Übrigen nicht gänzlich auszuschliessen, dass ein gewaltsamer Übergriff auf die Eltern der Beschwerdeführerin einmal stattgefunden hat, nicht glaubhaft ist aber der geltend gemachte Kontext.</w:t>
      </w:r>
    </w:p>
    <w:p>
      <w:r>
        <w:rPr>
          <w:b/>
        </w:rPr>
        <w:t>E. 9.2</w:t>
      </w:r>
    </w:p>
    <w:p>
      <w:r>
        <w:t>Zusammenfassend hat das SEM zu Recht festgestellt, die Beschwerdeführerin erfülle die Flüchtlingseigenschaft im Sinne von Art. 3 AsylG nicht und es hat deswegen auch zu Recht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Bei diesem Ausgang des Verfahrens wären die Kosten grundsätzlich der Beschwerdeführerin aufzuerlegen (Art. 63 Abs. 1 VwVG; Art. 1-3 des Reglements vom 21. Februar 2008 über die Kosten und Entschädigungen vor dem Bundesverwaltungsgericht [VGKE, SR 173.320.2]). Da ihre Rechtsbegehren jedoch nicht von vornherein als aussichtslos betrachtet werden können und ihre Bedürftigkeit ausgewiesen ist, ist das Gesuch um Gewährung der unentgeltlichen Prozessführung gemäss Art. 65 Abs. 1 VwVG gutzuheissen. Es sind somit keine Verfahrenskosten zu erheben.</w:t>
      </w:r>
    </w:p>
    <w:p>
      <w:r>
        <w:rPr>
          <w:b/>
        </w:rPr>
        <w:t>E. 12.2</w:t>
      </w:r>
    </w:p>
    <w:p>
      <w:r>
        <w:t>Die Beschwerdeführerin hat die mit nachgereichter Beschwerdeverbesserung in Form ihrer Originalunterschrift rechtsgenügliche Beschwerdeschrift offenbar selbst verfasst, wobei ersichtlich ist, dass sie vermutungsweise über einen juristischen Beistand verfügt hat. Abgesehen von der von Amtes wegen eingeholten Beschwerdeverbesserung drängten sich weitere Instruktionsmassnahmen nicht auf. Die Beiordnung einer amtlichen Rechtsvertretung (aArt. 110a Abs. 1 AsylG), auf welche die Beschwerdeführerin grundsätzlich Anspruch hätte, würde folglich einen prozessualen Leerlauf bedeuten.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