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E-3256/2018 vom 4. Juli 2018</w:t>
      </w:r>
    </w:p>
    <w:p>
      <w:r>
        <w:t>Bundesverwaltungsgericht, 2018-07-04, DE</w:t>
      </w:r>
    </w:p>
    <w:p>
      <w:r>
        <w:rPr>
          <w:b/>
        </w:rPr>
        <w:t xml:space="preserve">Quelle: </w:t>
      </w:r>
      <w:r>
        <w:t>https://mcp.opencaselaw.ch/entscheid/bvger_E-3256_2018</w:t>
      </w:r>
    </w:p>
    <w:p>
      <w:r>
        <w:t>FR: TAF E-3256/2018 du 4 juillet 2018</w:t>
      </w:r>
    </w:p>
    <w:p>
      <w:r>
        <w:t>IT: TAF E-3256/2018 del 4 luglio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Die Beschwerde richtet sich gegen die von der Vorinstanz angeordnete Wegweisung und den Wegweisungsvollzug. Mit in Rechtskraft erwachsenem Urteil E-6704/2017 des Bundesverwaltungsgerichts vom 1. März 2018 wurde die Flüchtlingseigenschaft verneint und das Asylgesuch des Beschwerdeführers abgewiesen.</w:t>
      </w:r>
    </w:p>
    <w:p>
      <w:r>
        <w:rPr>
          <w:b/>
        </w:rPr>
        <w:t>E. 5</w:t>
      </w:r>
    </w:p>
    <w:p>
      <w:r>
        <w:t>Die Vorinstanz führte zur Begründung ihrer abweisenden Verfügung aus, in Bezug auf die Anordnung der Wegweisung und den Wegweisungsvollzug sei der Grundsatz der Einheit der Familie zu berücksichtigen (Art. 44 AsylG). Auf diesen Grundsatz könne sich der Beschwerdeführer vorliegend jedoch nicht berufen. So sei festzuhalten, dass der Beschwerdeführer mit seinem Verhalten, insbesondere durch die Asylgesuchstellung in der Schweiz, in erster Linie seine Ausschaffung in den Heimatstaat zu verhindern versuche. Überdies sei das Vorliegen einer gelebten Familiengemeinschaft in Bezug auf seine Ehefrau und die gemeinsamen Kinder vorliegend zu verneinen. Der Beschwerdeführer lebe seit Jahren getrennt von seiner Ehefrau und den Kindern. Die Ehefrau kommuniziere nicht mit ihrem Ehemann und habe Angst vor diesem. Die Ehe sei zerstört; am 22. März 2018 habe nach der Einleitung des Scheidungsverfahrens durch die Ehefrau eine erste Scheidungsverhandlung stattgefunden. Die Kinder sehe der Beschwerdeführer nur sporadisch. Eine regelmässige finanzielle Unterstützung sei nicht belegt. Eine Regelung in Bezug auf das Sorge- und Besuchsrecht bestehe aktuell ebenso wenig. Auf Art. 8 EMRK könne sich der Beschwerdeführer ebenfalls nicht berufen, dies aus den bereits genannten Gründen und weil die Ehefrau und die Kinder in der Schweiz nicht über ein gefestigtes Aufenthaltsrecht verfügen würden. Die Wegweisung erweise sich auch nicht unter anderen Aspekten als unzulässig oder unzumutbar. Es sei nicht davon auszugehen, dass der Beschwerdeführer im Falle seiner Rückkehr in den Heimatstaat einer durch Art. 3 EMRK verbotenen Strafe oder Behandlung ausgesetzt sei. Die von ihm geltend gemachten Asylgründe, namentlich die Nähe zur Gülen-Bewegung sei als unglaubhaft erachtet worden. Ebenso sei nicht von einer Situation allgemeiner Gewalt für Angehörige der kurdischen Ethnie auszugehen. Es würden ferner keine individuellen Gründe wirtschaftlicher, sozialer oder gesundheitlicher Natur vorliegen, welche einem Vollzug der Wegweisung entgegenstehen könnten.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6.3.3</w:t>
      </w:r>
    </w:p>
    <w:p>
      <w:r>
        <w:t>Gemäss Art. 83 Abs. 2 AuG ist der Vollzug nicht möglich, wenn die Ausländerin oder der Ausländer weder in den Heimat- oder Herkunftsstaat noch in einen Drittstaat ausreisen oder dorthin gebracht werden kann.</w:t>
      </w:r>
    </w:p>
    <w:p>
      <w:r>
        <w:rPr>
          <w:b/>
        </w:rPr>
        <w:t>E. 7.1</w:t>
      </w:r>
    </w:p>
    <w:p>
      <w:r>
        <w:t>Der Beschwerdeführer bringt vor, eine Wegweisung respektive ein Wegweisungsvollzug verbiete sich aufgrund der bestehenden Familienbeziehung zu seinen in der Schweiz vorläufig wegen Unzumutbarkeit aufgenommenen Kindern und seiner Ehefrau. Die Trennung sei auch unter dem Aspekt von Art. 8 EMRK nicht gerechtfertigt. Zwar sei beim Zivilgericht I._______ ein Scheidungsverfahren hängig. Zur Durchführung dieses Verfahrens und der weiteren Regelung der familiären Verhältnisse sei es jedoch unerlässlich, dass er sich in der Nähe seiner Familie befinde. Zudem habe er in den letzten Monaten im Rahmen des Möglichen mit seiner Familie eine gelebte Beziehung geführt. Insbesondere äussere auch seine Ehefrau das Bedürfnis, dass er zum Wohle der gemeinsamen Kinder seine Betreuungsaufgaben als Vater weiter wahrnehme.</w:t>
      </w:r>
    </w:p>
    <w:p>
      <w:r>
        <w:rPr>
          <w:b/>
        </w:rPr>
        <w:t>E. 7.2</w:t>
      </w:r>
    </w:p>
    <w:p>
      <w:r>
        <w:t>Der Beschwerdeführer verfügt weder über eine ausländerrechtliche Aufenthaltsbewilligung noch über einen Anspruch auf Erteilung einer solchen. Der Grundsatz der Einheit der Familie nach Art. 44 AsylG kommt vorliegend ebenfalls nicht zum Tragen. Zwar sind die Ehefrau des Beschwerdeführers und die gemeinsamen Kinder in der Schweiz wegen Unzumutbarkeit vorläufig aufgenommen. Es ist im vorliegenden Fall - wie die Vorinstanz zutreffend festgestellt hat - aber nicht vom Bestehen einer gelebten und intakten Familiengemeinschaft zwischen dem Beschwerdeführer und seiner Ehefrau sowie den Kindern auszugehen. So ist festzustellen, dass der Beschwerdeführer und seine Ehefrau seit dem Jahre 2007 verheiratet waren (act. A14/23 F7). Seit dem Jahr 2014 sind sie getrennt (act. A14/23 F6). Die Ehefrau hat in der Schweiz ein Scheidungsverfahren eingeleitet (act. A57/1; act. A60/2). Zwar gibt der Beschwerdeführer an, nach der Heirat eine bestimmte Zeit mit den Kindern zusammen gelebt zu haben (act. A14/23 F15). Dem steht jedoch bereits seine Aussage entgegen, wonach er die Türkei im Jahr 2005 alleine Richtung Italien verlassen hat, um dort zu leben (act. A14/23 F29, F38). Des Weiteren bringt der Beschwerdeführer im Rahmen der Bundesanhörung vor, seit seiner Ausreise aus seinem Heimatland oft zwischen Italien und der Türkei hin und hergereist zu sein (act. A14/23 F15). Zudem habe er seine Kinder im Jahre 2017 oft in der Schweiz besucht und sie auch finanziell unterstützt (act. A14/23 F17, F19). Deren genaue Wohnadresse kenne er dagegen nicht (act. A14/23 F21). Ausserdem habe er lediglich mit seinen Kindern und anderen in der Schweiz wohnhaften Bekannten in Kontakt gestanden, aufgrund der familiären Schwierigkeiten jedoch kaum mit seiner Ehefrau (act. A14/23 F16, 18). Die Ehefrau hat offensichtlich vor allem aufgrund der Situation mit dem Ehemann und dessen Familie den Heimatstaat verlassen. Dieser Situation wurde mit der Anordnung der vorläufigen Aufnahme Rechnung getragen. Zwischenzeitlich ist das Ehescheidungsverfahren in der Schweiz eingeleitet. Angesichts dessen kann von einem gelebten Familienleben zwischen dem Beschwerdeführer und seiner Ehefrau bis zum Zeitpunkt seiner Einreise in die Schweiz nicht die Rede sein. Ebenso wenig ist davon auszugehen, dass während seiner Anwesenheit in der Schweiz in Haft ein zu schützendes Familienleben aufgebaut werden konnte. Daran vermag auch nichts zu ändern, dass die Ehefrau den Kontakt zwischen dem Vater und seinen Kindern als wichtig zu erachten scheint. Der Vorinstanz ist folglich dahingehend zuzustimmen, dass sich der Beschwerdeführer nicht auf die Familieneinheit berufen kann.</w:t>
      </w:r>
    </w:p>
    <w:p>
      <w:r>
        <w:rPr>
          <w:b/>
        </w:rPr>
        <w:t>E. 7.3</w:t>
      </w:r>
    </w:p>
    <w:p>
      <w:r>
        <w:t>Eine andere Beurteilung ergibt sich auch nicht in Bezug auf Art. 8 EMRK, welcher ebenfalls dem Schutz der Familie dient. Gemäss ständiger bundesgerichtlicher Rechtsprechung kann sich nur dann jemand auf den Schutz des Familienlebens nach Art. 8 EMRK berufen, wenn zum einen eine nahe, echte und tatsächlich gelebte familiäre Beziehung vorliegt. Zum anderen muss es sich beim in der Schweiz lebenden Familienmitglied um eine hier gefestigt anwesenheitsberechtigte Person handeln (vgl. BGE 139 I 330 E. 2.1). Beide Voraussetzungen sind vorliegend nicht erfüllt.</w:t>
      </w:r>
    </w:p>
    <w:p>
      <w:r>
        <w:rPr>
          <w:b/>
        </w:rPr>
        <w:t>E. 7.4</w:t>
      </w:r>
    </w:p>
    <w:p>
      <w:r>
        <w:t>Nachdem die minderjährigen Kinder offenbar immer bei der Mutter gelebt und nie über einen längeren Zeitraum mit ihrem Vater zusammengewohnt haben, ergibt sich eine andere Beurteilung auch nicht unter dem Aspekt des Kindeswohls. An dieser Einschätzung vermag auch der Umstand nichts zu ändern, dass die Kinder ihren in der Haft befindlichen Vater offenbar regelmässig besuchen.</w:t>
      </w:r>
    </w:p>
    <w:p>
      <w:r>
        <w:rPr>
          <w:b/>
        </w:rPr>
        <w:t>E. 7.5</w:t>
      </w:r>
    </w:p>
    <w:p>
      <w:r>
        <w:t>Die Wegweisung und der Vollzug der Wegweisung wurden unter der Berücksichtigung des Aspekts der Familieneinheit daher von der Vorinstanz zurecht und mit der zutreffenden Begründung angeordnet.</w:t>
      </w:r>
    </w:p>
    <w:p>
      <w:r>
        <w:rPr>
          <w:b/>
        </w:rPr>
        <w:t>E. 8</w:t>
      </w:r>
    </w:p>
    <w:p>
      <w:r>
        <w:t>Sodann ergeben sich auch keine anderen Vollzugshindernisse, die einer Wegweisung entgegenstehen.</w:t>
      </w:r>
    </w:p>
    <w:p>
      <w:r>
        <w:rPr>
          <w:b/>
        </w:rPr>
        <w:t>E. 8.1</w:t>
      </w:r>
    </w:p>
    <w:p>
      <w:r>
        <w:t>Die Vorinstanz wies in ihrer angefochtenen Verfügung zutreffend darauf hin, dass das Prinzip des flüchtlingsrechtlichen Non-Refoulement nur Personen schützt, die die Flüchtlingseigenschaft erfüllen. Dem Beschwerdeführer ist es jedoch nicht gelungen, seine Flüchtlingseigenschaft glaubhaft zu machen. So hat sowohl die Vorinstanz als auch das Bundesverwaltungsgericht die Ausführungen des Beschwerdeführers zu seiner vorgebrachten Verfolgungsfurcht im Wesentlichen als unsubstantiiert und widersprüchlich erachtet und seine geltend gemachte Verbindung zur Gülen-Bewegung für unglaubhaft befunden (vgl. Verfügung des SEM vom 27. Oktober 2017; Urteil des BVGer E-6704/2017 vom 1. März 2018 E. 5).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8.2</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8.3</w:t>
      </w:r>
    </w:p>
    <w:p>
      <w:r>
        <w:t>Auch wenn die Lage in der Türkei für Angehörige der kurdischen Ethnie angespannt bleibt, ist, abgesehen von den Provinzen Hakkari und Sirnak (vgl. BVGE 2013/2 E. 9.6), aktuell nicht von einer Situation allgemeiner Gewalt auszugehen, die einen Wegweisungsvollzug von Asylsuchenden kurdischer Ethnie generell als unzumutbar erscheinen lassen würde (vgl. Urteile des BVGer E-3524/2016 vom 4. Juli 2016 E. 6.3; D-1041/2014 vom 7. Mai 2014 E. 7.4; D-1455/2013 vom 23. Januar 2014 E. 6.2.1). Der Beschwerdeführer stammt aus J._______ und hatte seinen letzten Wohnsitz in K._______, mithin nicht in Provinzen, in denen allgemeine Gewalt angenommen wird. Somit sprechen weder die herrschende politische Lage noch andere allgemeine Gründe gegen die Zumutbarkeit einer Rückführung des Beschwerdeführers in die Türkei.</w:t>
      </w:r>
    </w:p>
    <w:p>
      <w:r>
        <w:rPr>
          <w:b/>
        </w:rPr>
        <w:t>E. 8.4</w:t>
      </w:r>
    </w:p>
    <w:p>
      <w:r>
        <w:t>Der Beschwerdeführer verfügt zudem über eine solide Schulbildung und langjährige Berufserfahrung als Koch. Wie die Vorinstanz zutreffend festhält, werden ihm diese Kenntnisse beim Wiederaufbau einer Existenz in seinem Heimatland zugutekommen und es ihm ermöglichen, für den eigenen Lebensunterhalt aufzukommen. Zudem ist mit der Vorinstanz davon auszugehen, dass seine Eltern und weitere Verwandte noch in der Türkei wohnhaft sind und zusätzliche finanzielle Unterstützung durch seinen in der Schweiz wohnhaften Bruder zu erwarten ist. Auch die geltend gemachten gesundheitlichen Beeinträchtigungen stehen einem Vollzug der Wegweisung nicht entgegen. Aus den Akten geht hervor, dass der Beschwerdeführer an Pilonidalsinus und an Nasenpolypen leidet. In Bezug auf Ersteres wurde er im Februar 2018 in der Schweiz operiert und war bis Ende April 2018 aufgrund der noch offenen Wunde nicht reisefähig (vgl. ärztlicher Bericht vom 29. März 2018, act. A59/6 S. 2). Inzwischen ist jedoch davon auszugehen, dass die Wundheilung soweit abgeschlossen ist und der Beschwerdeführer reisefähig ist. Allfällige spätere Behandlungen, auch hinsichtlich der Nasenpolypen, sind im Übrigen in der Türkei ohne Weiteres vorhanden und zugänglich, zumal das Gesundheitssystems der Türkei im Wesentlichen den westeuropäischen Standards entspricht. Dem Gesundheitszustand ist bei der Ausgestaltung der Vollzugsmodalitäten gebührend Rechnung zu tragen.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Aufgrund der vorstehenden Erwägungen ergibt sich, dass sich die Begehren des Beschwerdeführers als aussichtslose erwiesen haben. Damit ist eine der kumulativ zu erfüllenden Voraussetzungen für die Gewährung der unentgeltlichen Rechtspflege nach Art. 65 Abs. 1 VwVG nicht erfüllt und das entsprechende Gesuch ist abzuweisen. Demzufolge ist auch der Antrag auf Beiordnung eines amtlichen Rechtsbeistandes im Sinne von Art. 110a Abs. 1 Bst. a AsylG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