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E-3250/2013 vom 3. Dezember 2015</w:t>
      </w:r>
    </w:p>
    <w:p>
      <w:r>
        <w:t>Bundesverwaltungsgericht, 2015-12-03, DE</w:t>
      </w:r>
    </w:p>
    <w:p>
      <w:r>
        <w:rPr>
          <w:b/>
        </w:rPr>
        <w:t xml:space="preserve">Quelle: </w:t>
      </w:r>
      <w:r>
        <w:t>https://mcp.opencaselaw.ch/entscheid/bvger_E-3250_2013</w:t>
      </w:r>
    </w:p>
    <w:p>
      <w:r>
        <w:t>FR: TAF E-3250/2013 du 3 décembre 2015</w:t>
      </w:r>
    </w:p>
    <w:p>
      <w:r>
        <w:t>IT: TAF E-3250/2013 del 3 dicembre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zulässigen Rügen und die Kognition des Bundesverwaltungsgerichts richten sich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(Art. 7 AsylG).</w:t>
      </w:r>
    </w:p>
    <w:p>
      <w:r>
        <w:rPr>
          <w:b/>
        </w:rPr>
        <w:t>E. 3.2.1</w:t>
      </w:r>
    </w:p>
    <w:p>
      <w:r>
        <w:t>Grundsätzlich sind Vorbringen dann glaubhaft, wenn sie genügend substantiiert,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w:t>
      </w:r>
    </w:p>
    <w:p>
      <w:r>
        <w:rPr>
          <w:b/>
        </w:rPr>
        <w:t>E. 3.2.2</w:t>
      </w:r>
    </w:p>
    <w:p>
      <w:r>
        <w:t>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BGVE 2013/11 E. 5.1 S. 142 f.; BGVE 2012/5 E. 2.2 S. 43 f.; BGVE 2010/57 E. 2.3 S. 826 f.).</w:t>
      </w:r>
    </w:p>
    <w:p>
      <w:r>
        <w:rPr>
          <w:b/>
        </w:rPr>
        <w:t>E. 4.1</w:t>
      </w:r>
    </w:p>
    <w:p>
      <w:r>
        <w:t>In der angefochtenen Verfügung wird - entgegen der Annahme des Beschwerdeführers in der Rechtsmitteleingabe und im Verlaufe des Beschwerdeverfahrens - nicht in Abrede gestellt, dass der Beschwerdeführer in Afghanistan als (...) tätig gewesen sei. Es wird vielmehr die vom Beschwerdeführer geltend gemachte Dauer dieser Tätigkeit in Frage gestellt. Zudem hielt die Vorinstanz in der Verfügung im Rahmen der Prüfung der Zumutbarkeit des Wegweisungsvollzuges explizit fest, er habe in Kabul über Jahre hinaus als (...) in Ministerien und für internationale Organisationen gearbeitet. Hingegen kam die Vorinstanz mit ausführlicher Begründung zum Schluss, seine Aussagen, aufgrund seiner Tätigkeit für die ISAF während drei Jahren von Unbekannten, vermutlich Taliban, telefonisch und schriftlich bedroht worden zu sein, würden nicht zu überzeugen vermögen. Zudem sei auch sein Vorbringen, es sei in Kunduz auf ihn geschossen worden, als er mit einem Freund im Auto unterwegs gewesen sei, keineswegs glaubhaft. Die Vorinstanz stellte sich in der angefochtenen Verfügung demnach bezüglich der Prüfung der Zuerkennung der Flüchtlingseigenschaft zusammenfassend auf den Standpunkt, die Vorbringen des Beschwerdeführers hielten den Anforderungen an die Glaubhaftigkeit gemäss Art. 7 AsylG nicht stand, so dass ihre Asylrelevanz nicht geprüft werden müsse.</w:t>
      </w:r>
    </w:p>
    <w:p>
      <w:r>
        <w:rPr>
          <w:b/>
        </w:rPr>
        <w:t>E. 4.2</w:t>
      </w:r>
    </w:p>
    <w:p>
      <w:r>
        <w:t>Bei Annahme der Glaubhaftigkeit der (...)tätigkeit wäre jedoch die Prüfung der flüchtlingsrechtlichen Relevanz der Asylvorbringen unter Berücksichtigung der Situation in Afghanistan vorzunehmen, wobei insbesondere näher beleuchtet werden müsste, ob der Beschwerdeführer in seinem Heimatland Schutz vor Verfolgung finden könnte, da aufgrund der Subsidiarität des flüchtlingsrechtlichen Schutzes die Flüchtlingseigenschaft nicht erfüllt, wer in seinem Heimatland Schutz vor nichtstaatlicher Verfolgung findet (sog. Schutztheorie). Schutz vor nichtstaatlicher Verfolgung im Heimatstaat ist als ausreichend zu qualifizieren, wenn die betreffende Person effektiv Zugang zu einer funktionierenden und effizienten Schutz-Infrastruktur hat, unabhängig von persönlichen Merkmalen wie Geschlecht oder Zugehörigkeit zu einer ethnischen oder religiösen Minderheit, und ihr die Inanspruchnahme eines solchen innerstaatlichen Schutzsystems individuell zumutbar ist (vgl. Urteil des Bundesverwaltungsgerichts D 3307/2011 vom 17. Januar 2013 m.H.a. BVGE 2011/51 E. 7.4 sowie Entscheidungen und Mitteilungen der Schweizerischen Asylrekurskommission [EMARK] 2006 Nr. 18 E. 10).</w:t>
      </w:r>
    </w:p>
    <w:p>
      <w:r>
        <w:rPr>
          <w:b/>
        </w:rPr>
        <w:t>E. 4.3</w:t>
      </w:r>
    </w:p>
    <w:p>
      <w:r>
        <w:t>Das Gericht nahm im Grundsatzurteil BVGE 2011/7 eine umfassende Analyse der Sicherheitslage in Afghanistan vor, welche es über sämtliche Landesteile hinweg als äusserst prekär bezeichnete. Die Hauptstadt Kabul gehöre jedoch im Vergleich zu den übrigen Landesteilen trotz vereinzelter Anschläge weiterhin zu den relativ stabilen Landesteilen, die kaum von Anschlägen betroffen seien; die afghanischen Sicherheitskräfte seien dort besser in der Lage, Verantwortung zu übernehmen und für die Bevölkerung in Kabul ein vergleichsweise sicheres Umfeld zu schaffen (vgl. E. 9.7.4. f.). In letzter Zeit hat sich die Situation allerdings weiter verschlechtert. Mit dem Abzug der ISAF und der damit entstandenen Sicherheitslücken begannen die militärischen Konfrontationen zwischen regierungsfeindlichen Gruppierungen und afghanischen Sicherheitskräften zu eskalieren und führten zu einem Anstieg der zivilen Opfer (vgl. United Nations Assistance Mission in Afghanistan [UNAMA], Annual Report 2013 - Protection of Civilians in Armed Conflict, Februar 2014, S. 13, 39 f.). Vor diesem Hintergrund ist noch unklar, ob sich die afghanischen Sicherheitskräfte ohne internationale Unterstützung gegen die regierungsfeindlichen Gruppierungen werden behaupten können, zumal die Desertions- und Abgangsrate sehr hoch sowie der Ausbildungsstand der Rekruten schlecht ist und eine Infiltrierung durch regierungsfeindliche Gruppierungen stattfindet (vgl. Giustozzi/Quentin, The Afghan National Army, Februar 2014, S. 6 ff., 42; vgl. zum Ganzen Schweizerische Flüchtlingshilfe (SFH), Afghanistan: Update, Die aktuelle Sicherheitslage, Bern, 5. Oktober 2014, S. 3, 6). Zudem gilt die Afghan Local Police (ALP) in der afghanischen Bevölkerung als korrupt und hat einen schlechten Ruf, weshalb sich offenbar kaum jemand freiwillig ihrem Schutz unterstelle (vgl. SFH, Afghanistan: Sicherheit in Kabul, Auskunft, Bern, 22. Juli 2014, S. 12 f. mit Hinweis auf UNAMA, a.a.O., S. 9 f., 50). Bei der Beurteilung der Sicherheitslage lassen sich Gruppen von Personen definieren, die aufgrund ihrer Exponiertheit einem erhöhten Verfolgungsrisiko ausgesetzt sind. Das Amt des Hohen Flüchtlingskommissars der Vereinten Nationen (UNHCR) und andere Beobachter nennen diesbezüglich unter anderem westlich orientierte oder der afghanischen Gesellschaftsordnung aus anderen Gründen nicht entsprechende Personen, die mit den internationalen Truppen zusammenarbeiten. Einem besonders hohen Risiko sind gemäss verschiedenen Quellen Personen ausgesetzt, die regelmässig bei den Militärbasen gesehen werden und eng mit den Militärangehörigen zusammenarbeiten. Diese sind besonders gefährdet, weil extremistisch oder fanatisch eingestellte Gruppierungen - insbesondere die Taliban - Muslime, welche für die ihrer Meinung nach ungläubigen Besetzer im Land arbeiten, als Verräter betrachten, die es hart zu bestrafen gelte (vgl. etwa UNHCR Eligibility Guidelines for Assessing the International Protection Needs of Asylum-Seekers from Afghanistan, 6. August 2013, S. 31 ff.; SFH, Afghanistan-Update, a.a.O., S. 15 f.; Danish Immigration Service, Country of Origin Information [COI] for use in the asylum determination process, Fact Finding Mission to Kabul, Mai 2012, S. 17 f.). In den letzten Jahren wurden denn auch zahlreiche (...) getötet, welche für die internationalen Truppen gearbeitet hatten (vgl. Deutsche Welle Online, [...] 2014; Tagesschau Deutschland, [...] 2014; Spiegel Online, [...] getötet, [...] 2013). Es bestehen im heutigen Zeitpunkt keine Anzeichen für eine Entschärfung der Lage für Angehörige dieser Risikogruppe.</w:t>
      </w:r>
    </w:p>
    <w:p>
      <w:r>
        <w:rPr>
          <w:b/>
        </w:rPr>
        <w:t>E. 4.4</w:t>
      </w:r>
    </w:p>
    <w:p>
      <w:r>
        <w:t>Vor diesem Hintergrund wäre bei Annahme der Glaubhaftigkeit der (...)tätigkeiten folglich zu prüfen, ob der Beschwerdeführer bei einer Rückkehr nach Kabul einer konkreten Gefährdung durch nicht-staatliche Akteure ausgesetzt wäre. Aufgrund der gesamten Aktenlage gibt es zwar einerseits ernsthafte Hinweise, die Rückschlüsse auf seinen Beruf als (...) für internationalen Organisationen zulassen könnten. Andererseits fehlen jedoch - in auffälligem Gegensatz zu anderen Verfahren von afghanischen Asylsuchenden, welche die alliierten Truppen unterstützt haben - aussagekräftige Beweismittel, die das Anstellungsverhältnis zu belegen vermöchten. So hat der Beschwerdeführer im Verlaufe des Beschwerdeverfahrens verschiedene Beweismittel im Zusammenhang mit seinen geltend gemachten Anstellungsverhältnissen zu den Akten gereicht, die als Fälschungen erkannt werden mussten. In vorliegend entscheid wesentlicher Hinsicht ist hingegen festzustellen, dass im Rahmen des vorinstanzlichen Verfahrens der Beschwerdeführer anlässlich der Anhörung zur geltend gemachten Tätigkeit für die ISAF und zu den Aspekten der eigentlichen (...)tätigkeit kaum und jedenfalls nicht in der gebotenen Tiefe befragt wurde (vgl. A11/13 Pt. 32-40). Im Weiteren wurde in der angefochtenen Verfügung fälschlicherweise implizit angenommen, die Vorbringen bezüglich der (...)tätigkeit müssten nicht auf ihre Asylrelevanz geprüft werden. Explizit als unglaubhaft wurden lediglich die geltend gemachten Bedrohungen und Behelligungen durch Anhänger der Taliban erachtet. Im Verlaufe des Beschwerdeverfahrens reichte der Beschwerdeführer unter anderem verschiedene Unterlagen zu den Akten, welche ihn mit teilweise hochrangigen Personen in Afghanistan zeigen würden. Weiter sei der Beschwerdeführer auf der Webseite von (...) der afghanischen Armee zu sehen. Aufgrund der genannten Personen und der entsprechend geltend gemachten Bezugspunkte zu diesen kann nicht ausgeschlossen werden, dass der Beschwerdeführer ein breitgefächertes Beziehungsnetz zu einflussreichen Kreisen der afghanischen politischen Elite pflegen und Zugang zu höheren Kommandostellen der afghanischen Armee unterhalten konnte und dies allenfalls noch heute gegeben sein könnte. Diese Aspekte sind in sachverhaltsmässiger Hinsicht entscheidrelevante Faktoren, sowohl bezüglich der Beurteilung der Zuerkennung der Flüchtlingseigenschaft im Hinblick auf die Einschätzung des Gefährdungspotenzials unter den Voraussetzungen der Schutztheorie (vgl. oben E. 4.2), als auch bezüglich der Prüfung der Zumutbarkeit des Vollzuges einer allfälligen Wegweisung aus der Schweiz. Das SEM hatte keine Gelegenheit, den Beschwerdeführer zu diesen auf Beschwerdeebene vorgebrachten Aspekten zu befragen. Anlässlich der Anhörung im vorinstanzlichen Verfahren kam dieser Themenkreis, wenn überhaupt, nur sehr rudimentär zur Sprache (A11/13 Pt. 34: "Namen einer bekannten Person, mit der ich zu tun hatte"; A11/13 Pt. 35: Arbeit im [...]-Camp in Kabul, zusammen für das ISAF Kommando; A11/13 Pt. 59: "unserem Parlamentsvertreter die Situation geschildert"). Konkrete Nachfragen auf diese stichwortartig genannten Bezugspunkte sind dem Anhörungsprotokoll vom 27. Mai 2013 (A11/13) nicht zu entnehmen.</w:t>
      </w:r>
    </w:p>
    <w:p>
      <w:r>
        <w:rPr>
          <w:b/>
        </w:rPr>
        <w:t>E. 5</w:t>
      </w:r>
    </w:p>
    <w:p>
      <w:r>
        <w:t>Mit der angefochtenen Verfügung vom 30. Mai 2013 hat die Vorinstanz es somit unterlassen, die eigentliche Tätigkeit des Beschwerdeführers als (...) einer eingehenden Glaubhaftigkeitsprüfung zu unterziehen. Zudem hatte die Vorinstanz keine Gelegenheit, den Beschwerdeführer zu den auf Beschwerdeebene vorgebrachten Aspekten bezüglich eines allfälligen breitgefächerten Beziehungsnetzes zu einflussreichen Kreisen der afghanischen politischen Elite und eines allfälligen Zugangs zu höheren Kommandostellen der afghanischen Armee zu befragen und hat auf einer unvollständigen Sachverhaltsgrundlage entschieden. Es kann - auch unter dem Aspekt des Anspruchs auf rechtliches Gehör und der Rechtsweggarantie - nicht Sache des Bundesverwaltungsgerichts sein, den Sachverhalt in diesem wesentlichen Punkt abzuklären und als erste Instanz neu über die Glaubhaftigkeit der diesbezüglichen Aspekte zu befinden. Die angefochtene Verfügung ist somit aufzuheben und das SEM anzuweisen, den Sachverhalt korrekt und vollständig festzustellen. Dabei wird es wohl unumgänglich sein, vom Beschwerdeführer allenfalls taugliche Beweismittel einzufordern und insbesondere ihn nochmals vertieft zu befragen. Nach Vervollständigung der Akten wird die Vorinstanz über die Glaubhaftigkeit der (...)tätigkeiten und gegebenenfalls über deren flüchtlingsrechtliche Relevanz zu befinden haben.</w:t>
      </w:r>
    </w:p>
    <w:p>
      <w:r>
        <w:rPr>
          <w:b/>
        </w:rPr>
        <w:t>E. 6</w:t>
      </w:r>
    </w:p>
    <w:p>
      <w:r>
        <w:t>Die Beschwerde ist somit gutzuheissen, soweit die Aufhebung der angefochtenen Verfügung beantragt wird. Die vorinstanzliche Verfügung vom 30. Mai 2013 ist aufzuheben und die Sache in Anwendung von Art. 61 Abs. 1 in fine VwVG zur vollständigen und richtigen Sachverhaltsermittlung und Neubeurteilung im Sinne der Erwägungen ans SEM zurückzuweisen.</w:t>
      </w:r>
    </w:p>
    <w:p>
      <w:r>
        <w:rPr>
          <w:b/>
        </w:rPr>
        <w:t>E. 7</w:t>
      </w:r>
    </w:p>
    <w:p>
      <w:r>
        <w:t>Bei diesem Ausgang des Verfahrens sind keine Kosten zu erheben (Art. 63 Abs. 1 und 2 VwVG).</w:t>
      </w:r>
    </w:p>
    <w:p>
      <w:r>
        <w:rPr>
          <w:b/>
        </w:rPr>
        <w:t>E. 8</w:t>
      </w:r>
    </w:p>
    <w:p>
      <w:r>
        <w:t>Die Beschwerdeinstanz kann der ganz oder teilweise obsiegenden Partei von Amtes wegen oder auf Begehren hin eine Entschädigung für die ihr erwachsenen notwendigen und verhältnismässig hohen Kosten zusprechen (Art. 64 VwVG; Art. 7 Abs. 1 und 2 des Reglements vom 21. Februar 2008 über die Kosten und Entschädigungen vor dem Bundesverwaltungsgericht [VGKE, SR 173.320.2]). In der eingereichten Honorarnote vom 12. November 2015 wird ein Vertretungsaufwand im Gesamtbetrag von Fr. 2846.55 (inklusive Auslagen und Mehrwertsteuer) ausgewiesen. Dieser Aufwand erscheint im Vergleich mit ähnlich gelagerten Verfahren als erhöht und ist angemessen zu kürzen. Die Parteientschädigung wird somit auf insgesamt Fr. 2300.- (inkl. Auslagen und Mehrwertsteuer) bestimmt und dem SEM zur Bezahlung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