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E-3248/2014 vom 19. Juni 2014</w:t>
      </w:r>
    </w:p>
    <w:p>
      <w:r>
        <w:t>Bundesverwaltungsgericht, 2014-06-19, DE</w:t>
      </w:r>
    </w:p>
    <w:p>
      <w:r>
        <w:rPr>
          <w:b/>
        </w:rPr>
        <w:t xml:space="preserve">Quelle: </w:t>
      </w:r>
      <w:r>
        <w:t>https://mcp.opencaselaw.ch/entscheid/bvger_E-3248_2014</w:t>
      </w:r>
    </w:p>
    <w:p>
      <w:r>
        <w:t>FR: TAF E-3248/2014 du 19 juin 2014</w:t>
      </w:r>
    </w:p>
    <w:p>
      <w:r>
        <w:t>IT: TAF E-3248/2014 del 19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richten sich nach Art. 106 Abs. 1 AsylG.</w:t>
      </w:r>
    </w:p>
    <w:p>
      <w:r>
        <w:rPr>
          <w:b/>
        </w:rPr>
        <w:t>E. 3</w:t>
      </w:r>
    </w:p>
    <w:p>
      <w:r>
        <w:t>Über offensichtlich 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Eine Verfügung des BFM ist grundsätzlich in der Sprache zu eröffnen, die am Wohnort des Asylsuchenden Amtssprache ist (Art. 16 Abs. 2 AsylG). Davon kann das BFM ausnahmsweise dann abweichen, wenn die asylsuchende Person oder deren Rechtsvertreterin oder Rechtsvertreter einer anderen Amtssprache mächtig ist, dies unter Berücksichtigung der Gesuchseingänge oder der Personalsituation vorübergehend für eine effiziente und fristgerechte Gesuchserledigung erforderlich ist oder die asylsuchende Person in einem EVZ direkt angehört und einem Kanton mit einer anderen Amtssprache zugewiesen wird (Art. 16 Abs. 3 Bst. a-b AsylG).</w:t>
      </w:r>
    </w:p>
    <w:p>
      <w:r>
        <w:rPr>
          <w:b/>
        </w:rPr>
        <w:t>E. 4.2</w:t>
      </w:r>
    </w:p>
    <w:p>
      <w:r>
        <w:t>Das Bundesverwaltungsgericht stellt fest, dass vorliegend die Voraussetzungen von Art. 16 Abs. 3 AsylG für eine Abweichung von der in Absatz 2 derselben Bestimmung statuierten Regel zur Verfahrenssprache vor dem Bundesamt nicht erfüllt sind. Zwar lässt die Praxis gewisse Abweichungen von der Regel zu, jedoch nur wenn gleichzeitig im Gegenzug geeignete Korrektur-Massnahmen getroffen werden, die das Recht auf eine wirksame Beschwerde und auf einen fairen Prozess gewährleisten. Zudem ist die Vorinstanz verpflichtet, die Abweichungen von der Regel im konkreten Einzelfall entsprechend zu begründen. In allen anderen Fällen liegt ein Verfahrensmangel vor, der die Kassation der angefochtenen Verfügung nach sich zieht (vgl. BVGE 2009/56, E. 3.2 f.). Der Beschwerdeführer war zum Zeitpunkt der Eröffnung der in Deutsch ergangenen Verfügung im Kanton Waadt wohnhaft, wo die Amtssprache Französisch ist. Er war im fraglichen Zeitpunkt auch nicht von einem professionellen Rechtsvertreter vertreten und ist, anders als der französischen, der deutschen Sprache nicht mächtig (vgl. Akten BFM A4/11 S. 9). Zudem hat die Vorinstanz weder anlässlich der Eröffnung der Verfügung geeignete Korrektiv-Massnahmen, wie beispielsweise die Übersetzung der ergangenen Verfügung in eine dem Beschwerdeführer verständliche Sprache, getroffen noch hat es begründet, weshalb aus seiner Sicht der Erlass einer deutschsprachigen Verfügung im vorliegenden Fall gerechtfertigt erscheine.</w:t>
      </w:r>
    </w:p>
    <w:p>
      <w:r>
        <w:rPr>
          <w:b/>
        </w:rPr>
        <w:t>E. 5</w:t>
      </w:r>
    </w:p>
    <w:p>
      <w:r>
        <w:t>Aus diesen Erwägungen ergibt sich, dass die angefochtene Verfügung Bundesrecht verletzt (Art. 106 AsylG). Die Beschwerde ist demzufolge im Sinne der Erwägungen gutzuheissen, die Verfügung vom 16. Mai 2014 aufzuheben und die Sache zur korrekten Durchführung des Verfahrens und neuer Entscheidung ans BFM zurückzuweisen.</w:t>
      </w:r>
    </w:p>
    <w:p>
      <w:r>
        <w:rPr>
          <w:b/>
        </w:rPr>
        <w:t>E. 6</w:t>
      </w:r>
    </w:p>
    <w:p>
      <w:r>
        <w:t>Bei diesem Ausgang des Verfahrens sind keine Kosten aufzuerlegen (Art. 63 Abs. 1 VwVG). Aufgrund der Akten ist nicht davon auszugehen, dem nicht vertretenen Beschwerdeführer seien notwendige Kosten entstanden, weshalb keine Parteientschädigung auszurichten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