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E-3243/2013 vom 28. Januar 2014</w:t>
      </w:r>
    </w:p>
    <w:p>
      <w:r>
        <w:t>Bundesverwaltungsgericht, 2014-01-28, DE</w:t>
      </w:r>
    </w:p>
    <w:p>
      <w:r>
        <w:rPr>
          <w:b/>
        </w:rPr>
        <w:t xml:space="preserve">Quelle: </w:t>
      </w:r>
      <w:r>
        <w:t>https://mcp.opencaselaw.ch/entscheid/bvger_E-3243_2013</w:t>
      </w:r>
    </w:p>
    <w:p>
      <w:r>
        <w:t>FR: TAF E-3243/2013 du 28 janvier 2014</w:t>
      </w:r>
    </w:p>
    <w:p>
      <w:r>
        <w:t>IT: TAF E-3243/2013 del 28 gennaio 2014</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Voraussetzungen für das Eintreten auf die Beschwerde sind vorliegend erfüllt (Art. 105 und Art. 108 Abs. 1 AsylG, Art. 48 Abs. 1 sowie Art. 52 Abs. 1 VwVG).</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Der Beschwerdeführer rügt die unvollständige Abklärung des Sachverhalts. Diese Rüge ist vorab zu prüfen, da sie allenfalls geeignet wäre, eine Kassation der vorinstanzlichen Verfügung zu bewirken (vgl. Entscheidungen und Mitteilungen der [vormaligen] Schweizerischen Asylrekurskommission [EMARK] 2004 Nr. 38 und 1994 Nr. 1; ALFRED KÖLZ/ISABELLE HÄNER, Verwaltungsverfahren und Verwaltungsrechtspflege des Bundes, 2. Aufl., Zürich 1998, S. 225, m.w.H.).</w:t>
      </w:r>
    </w:p>
    <w:p>
      <w:r>
        <w:rPr>
          <w:b/>
        </w:rPr>
        <w:t>E. 3.1</w:t>
      </w:r>
    </w:p>
    <w:p>
      <w:r>
        <w:t>Gemäss Art. 12 VwVG stellt die Behörde den Sachverhalt von Amtes wegen fest und bedient sich nötigenfalls der gesetzlichen Beweismittel (Bstn. a-e). Der Untersuchungsgrundsatz findet seine Grenze an der Mit-wirkungspflicht der Asylsuchenden (Art. 8 AsylG; Art. 13 VwVG). Dazu gehört, die Identität offenzulegen und vorhandene Identitätspapiere abzu-geben, an der Feststellung des Sachverhaltes mitzuwirken und in der Anhörung die Asylgründe darzulegen, allfällige Beweismittel vollständig zu bezeichnen und unverzüglich einzureichen sowie bei der Erhebung der biometrischen Daten mitzuwirken (vgl. BVGE 2011/28 E. 3.4).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 a.a.O., Rz. 630). Das Bundesverwaltungsgericht kann den rechtserheblichen Sachverhalt, wie ihn die Vorinstanz festgestellt hat, uneingeschränkt überprüfen (Art. 106 Abs. 1 AsylG). Es ist dazu in dem Masse verpflichtet, als die Beschwerdepartei die Sachverhaltsfeststellungen oder die ihr zugrunde liegende Beweiswürdigung als fehlerhaft rügt und sich mit der angefochtenen Verfügung sachbezogen auseinandersetzt (vgl. Christoph Auer, Streitgegenstand und Rügeprinzip im Spannungsfeld der verwaltungsrechtlichen Prozessmaximen, Diss. Bern 1997, S. 79 f.; Urteil des Bundesverwaltungsgerichts E-36/2008 vom 30. November 2011, E. 5.1).</w:t>
      </w:r>
    </w:p>
    <w:p>
      <w:r>
        <w:rPr>
          <w:b/>
        </w:rPr>
        <w:t>E. 3.2</w:t>
      </w:r>
    </w:p>
    <w:p>
      <w:r>
        <w:t>Der in Art. 29 Abs. 2 der Bundesverfassung der Schweizerischen Eidgenossenschaft vom 18. April 1999 (BV, SR 101) garantierte und in den Art. 26-33 VwVG konkretisierte Grundsatz des rechtlichen Gehörs umfasst das Recht, mit eigenen Begehren angehört zu werden, Einblick in die Akten zu erhalten und zu den für die Entscheidung wesentlichen Punkten Stellung nehmen zu können. Der Anspruch auf rechtliches Gehör dient einerseits der Sachaufklärung und stellt anderseits ein persönlichkeitsbezogenes Mitwirkungsrecht der Parteien dar. Der Grundsatz des rechtlichen Gehörs beinhaltet die Pflicht der Behörden, die Vorbringen des vom Entscheid in seiner Rechtsstellung Betroffenen sorgfältig und ernsthaft zu prüfen und in der Entscheidfindung zu berücksichtigen (Art. 32 Abs. 1 VwVG). Daraus folgt die grundsätzliche Pflicht der Behörden, sich mit den wesentlichen Vorbringen des Rechtssuchenden zu befassen und Entscheide zu begründen (Art. 35 Abs. 1 VwVG). Die Begründung eines Entscheides muss so abgefasst sein, dass der Betroffene ihn sachgerecht anfechten kann. In diesem Sinne müssen wenigstens kurz die Überlegungen genannt werden, die für den Entscheid bedeutsam sind (vgl. BVGE 2009/35 E. 6.4.1, m.w.H.).</w:t>
      </w:r>
    </w:p>
    <w:p>
      <w:r>
        <w:rPr>
          <w:b/>
        </w:rPr>
        <w:t>E. 3.3</w:t>
      </w:r>
    </w:p>
    <w:p>
      <w:r>
        <w:t>Der Beschwerdeführer macht geltend, die Vorinstanz habe den Sachverhalt nicht genügend abgeklärt, da sie es unterlassen habe, die Verfolgung der Hazara durch die Lashkar-e-Jhangvi (LeJ) genügend zu untersuchen. Tatsächlich fällt bei der Lektüre des angefochtenen Entscheides auf, dass sich das BFM nicht mit der Frage einer Kollektivverfolgung der Hazara in Pakistan auseinandergesetzt hat und auf das Vorbringen des Beschwerdeführers, es finde ein Genozid statt (vgl. Akten BFM A4/18 S. 10, A9/16 S. 6 f.), weder in den Erwägungen zur Flüchtlingseigenschaft und zum Asyl, noch in denjenigen zum Wegweisungsvollzug eingegangen ist. Aus der vor­in­stanz­lichen Verfügung ist nicht ersichtlich, inwiefern sich das Bundesamt mit der vorgebrachten Verfolgung der Hazara befasste. Die Erwägung der Vorinstanz, im Rahmen einer Situation allgemeiner Gewalt erlittene Nachteile seien asylrechtlich unbeachtlich, verkennt, dass eine gezielte Verfolgung durchaus auch in Situationen von Krieg, Bürgerkrieg und allgemeiner Gewalt vorkommen kann (vgl. EMARK 1998 Nr. 17 und EMARK 1997 Nr. 14). Die Feststellung in der Vernehmlassung, im Asylverfahren werde die individuelle und einzelfallspezifische Verfolgungsmotivation geprüft, greift argumentativ nicht nur zu kurz, sondern ist insbesondere angesichts der im vorliegenden Fall explizit geltend gemachten Kollektivverfolgung auch sachlich falsch. Dies legt nahe, dass die Vorinstanz diesbezüglich nicht alle wesentlichen Sachumstände berücksichtigt und sich zumindest in der Abfassung des Entscheides nicht mit allen wesentlichen Vorbringen des Beschwerdeführers befasst hat. Eine unvollständige Feststellung des Sachverhaltes liegt zwar nicht vor, zumal die unerwähnt gebliebenen Elemente nicht die fallspezifischen Vor-bringen betreffen, sondern die allgemeine Situation im Herkunftsland, welche dem Bundesamt grundsätzlich bekannt ist. Der Entscheid erfolgte denn auch entsprechend dessen länderspezifischer Praxis. Aber es ist augenfällig, dass das BFM das zentrale Element der Asylvorbringen in seiner Entscheidbegründung unerwähnt gelassen hat. Das Bundesamt hat damit seine Begründungspflicht verletzt, wenngleich nicht in einer Weise, welche die sachgerechte Anfechtung verunmöglicht hätte.</w:t>
      </w:r>
    </w:p>
    <w:p>
      <w:r>
        <w:rPr>
          <w:b/>
        </w:rPr>
        <w:t>E. 3.4</w:t>
      </w:r>
    </w:p>
    <w:p>
      <w:r>
        <w:t>Demnach stellt sich die Frage, ob die festgestellte Verletzung des Anspruchs auf rechtliches Gehör im Beschwerdeverfahren geheilt werden kann oder zur Kassation der angefochtenen Verfügung führen muss. Grundsätzlich führt eine Verletzung des rechtlichen Gehörs aufgrund der formellen Natur dieses Anspruches ungeachtet der materiellen Auswirkungen zur Aufhebung des betreffenden Entscheides (vgl. BVGE 2008/47 E. 3.3.4, m.w.H.). Das Bundesverwaltungsgericht geht indessen in ständiger Praxis davon aus, dass Gehörsverletzungen und unvollständige Sacherhaltsfeststellungen dank der umfassenden Kognition der Beschwerdeinstanz (Art. 106 Abs. 1 AsylG) in bestimmten Schranken geheilt werden können. Eine Gehörsverletzung kann dann geheilt werden, wenn das Versäumte nachgeholt wird, der Beschwerdeführer dazu Stellung nehmen kann und der Beschwerdeinstanz im streitigen Fall die freie Überprüfungsbefugnis in Bezug auf Tatbestand sowie Rechtsanwendung zukommt, die festgestellte Verletzung nicht schwerwiegender Natur ist und die fehlende Entscheidreife durch die Beschwerdeinstanz mit vertretbarem Aufwand hergestellt werden kann (vgl. a.a.O. E. 3.4.4, m.w.H.). Vorliegend sieht sich das Bundesverwaltungsgericht nicht veranlasst, eine Heilung der Gehörsverletzung vorzunehmen, zumal das Bundesamt das Versäumte bisher nicht nachgeholt hat und dem Beschwerdeführer diesfalls eine Instanz verloren ginge. Im Übrigen ist die vorliegende Gehörsverletzung als erheblich zu bezeichnen, weshalb eine Heilung nicht angebracht scheint.</w:t>
      </w:r>
    </w:p>
    <w:p>
      <w:r>
        <w:rPr>
          <w:b/>
        </w:rPr>
        <w:t>E. 3.5</w:t>
      </w:r>
    </w:p>
    <w:p>
      <w:r>
        <w:t>Nach dem Gesagten ist die Beschwerde gutzuheissen, die angefochtene Verfügung aufzuheben und die Sache an die Vorinstanz zurückzuweisen.</w:t>
      </w:r>
    </w:p>
    <w:p>
      <w:r>
        <w:rPr>
          <w:b/>
        </w:rPr>
        <w:t>E. 4.1</w:t>
      </w:r>
    </w:p>
    <w:p>
      <w:r>
        <w:t>Bei diesem Ausgang des Verfahrens sind keine Kosten zu erheben (Art. 63 Abs. 1 und 2 VwVG). Das Gesuch um Gewährung der unentgeltlichen Rechtspflege wird damit gegenstandslos.</w:t>
      </w:r>
    </w:p>
    <w:p>
      <w:r>
        <w:rPr>
          <w:b/>
        </w:rPr>
        <w:t>E. 4.2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Es wurde keine Kostennote zu den Akten gereicht. Der notwendige Vertretungsaufwand lässt sich indes aufgrund der Aktenlage zuverlässig abschätzen, weshalb auf die Einholung einer solchen verzichtet werden kann (Art. 14 Abs. 2 in fine VGKE). Gestützt auf die in Betracht zu ziehenden Bemessungsfaktoren (Art. 9-13 VGKE) ist dem Beschwerdeführer zulasten der Vorinstanz eine Parteientschädigung von insgesamt Fr. 2200.- (inkl. Auslagen und MWSt)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