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E-3240/2022 vom 31. August 2022</w:t>
      </w:r>
    </w:p>
    <w:p>
      <w:r>
        <w:t>Bundesverwaltungsgericht, 2022-08-31, DE</w:t>
      </w:r>
    </w:p>
    <w:p>
      <w:r>
        <w:rPr>
          <w:b/>
        </w:rPr>
        <w:t xml:space="preserve">Quelle: </w:t>
      </w:r>
      <w:r>
        <w:t>https://mcp.opencaselaw.ch/entscheid/bvger_E-3240_2022</w:t>
      </w:r>
    </w:p>
    <w:p>
      <w:r>
        <w:t>FR: TAF E-3240/2022 du 31 août 2022</w:t>
      </w:r>
    </w:p>
    <w:p>
      <w:r>
        <w:t>IT: TAF E-3240/2022 del 31 agosto 2022</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t>E-3240/2022 Seite 5</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Bundesverwaltungs- gericht, 2. Aufl. 2013, S. 303 Rz. 5.36). Bei einer Gutheissung des Revisi- onsgesuchs befände sich der Gesuchsteller somit im (ursprünglichen) or- dentlichen Beschwerdeverfahren, in welchem sämtliche Beweismittel und Tatsachen, auch jene, die nach dem Urteilszeitpunkt eingereicht bezie- hungsweise geltend gemacht wurden, nach den für dieses Verfahren gel- tenden Vorschriften und Grundsätzen zu prüfen wären (vgl. URSINA BEERLI- BONORAND, Die ausserordentlichen Rechtsmittel des Bundes und der Kan- tone, Zürich 1985, S. 165 f.)</w:t>
      </w:r>
    </w:p>
    <w:p>
      <w:r>
        <w:rPr>
          <w:b/>
        </w:rPr>
        <w:t>E. 2</w:t>
      </w:r>
    </w:p>
    <w:p>
      <w:r>
        <w:t>Der Gesuchsteller ist durch das Beschwerdeurteil E-3258/2018 vom 2. Juni 2020 besonders berührt und hat ein schutzwürdiges Interesse an dessen Aufhebung oder Änderung. Er ist daher zur Einreichung des Revisionsge- suchs legitimiert (Art. 89 Abs. 1 BGG analog; vgl. MOSER/BEUSCH/KNEU- BÜHLER, a.a.O., Rz. 5.70). Der Gesuchsteller macht den Revisionsgrund der Verletzung der Europäischen Menschenrechtskonvention (Art. 122 BGG) geltend und zeigt ausserdem die Rechtzeitigkeit des Revisionsbe- gehrens auf. Auf das frist- und formgerecht eingereichte Revisionsgesuch ist deshalb einzutreten.</w:t>
      </w:r>
    </w:p>
    <w:p>
      <w:r>
        <w:rPr>
          <w:b/>
        </w:rPr>
        <w:t>E. 3.1</w:t>
      </w:r>
    </w:p>
    <w:p>
      <w:r>
        <w:t>Gemäss Art. 122 BGG kann in öffentlich-rechtlichen Angelegenheiten die Revision eines Urteils verlangt werden, wenn der EGMR in einem end- gültigen Urteil festgestellt hat, dass die EMRK verletzt worden ist (Bst. a), eine Entschädigung nicht geeignet ist, die Folgen der Verletzung auszu- gleichen (Bst. b) und die Revision notwendig ist, um die Verletzung zu be- seitigen (Bst. c).</w:t>
      </w:r>
    </w:p>
    <w:p>
      <w:r>
        <w:t>E-3240/2022 Seite 6</w:t>
      </w:r>
    </w:p>
    <w:p>
      <w:r>
        <w:rPr>
          <w:b/>
        </w:rPr>
        <w:t>E. 3.2</w:t>
      </w:r>
    </w:p>
    <w:p>
      <w:r>
        <w:t>Der EGMR hält in seinem (endgültigen) Urteil M.A.M. gegen die Schweiz fest, dass verschiedene internationale Berichte deutliche Hin- weise darauf enthielten, dass Personen, welche sich vom Islam abgewandt hätten, in Pakistan gefährdet seien, da sie zu einer religiösen Minderheit gehörten und ihnen Apostasie vorgeworfen werden könne (ebd. §65 und 72 ff.). Weiter führt der EGMR aus, dass konvertierte Personen erheblichen Benachteiligungen in ganz Pakistan ausgesetzt sein können (ebd. §75). Das Bundesverwaltungsgericht habe sich in seinem Urteil insbesondere auf die Situation von Christen in Pakistan gestützt, sich aber angesichts der verschiedenen Berichte über schwere Menschenrechtsverletzungen nicht hinreichend mit der Lage von zum Christentum konvertierten Perso- nen auseinandergesetzt (ebd. §74 ff.). Die Schweizer Behörden hätten bei der Ablehnung des Asylgesuchs ferner nicht hinreichend untersucht, wel- chem Risiko der Gesuchsteller bei einer Rückkehr nach Pakistan aufgrund seiner Konversion ausgesetzt wäre (ebd. §77 f.). Der Gesuchsteller sei nicht anwaltlich vertreten gewesen und es wäre an den Behörden gelegen, von Amtes wegen vertieft zu prüfen, ob ihm bei einer Rückkehr eine Be- handlung drohe, welche gegen Art. 2 und Art. 3 EMRK verstosse. Sollte eine Wegweisung nach Pakistan ohne eine weitere eingehende Beurtei- lung der Situation von Konvertiten sowie der persönlichen Situation des Gesuchstellers bei einer Rückkehr erfolgen, könnten Art. 2 und Art. 3 EMRK verletzt sein (ebd. §80).</w:t>
      </w:r>
    </w:p>
    <w:p>
      <w:r>
        <w:rPr>
          <w:b/>
        </w:rPr>
        <w:t>E. 3.3</w:t>
      </w:r>
    </w:p>
    <w:p>
      <w:r>
        <w:t>Zusammenfassend ist festzustellen, dass der EGMR zum Schluss kam, die Schweizer Behörden hätten den Sachverhalt nicht hinlänglich er- stellt und das Asylgesuch des Gesuchstellers sei genauer zu prüfen, an- sonsten eine Verletzung der EMRK drohe. Die Ausrichtung einer Entschä- digung ist vorliegend nicht geeignet, die Folgen einer Verletzung auszuglei- chen und die Revision ist notwendig, um die (möglicherweise) drohende Verletzung von Art. 2 und Art. 3 EMRK zu beseitigen. Vor diesem Hinter- grund ist der Revisionsgrund des Art. 122 BGG erfüllt und das Revisions- gesuch ist gutzuheissen. Das Urteil E-3258/2018 vom 2. Juni 2020 ist auf- zuheben und das Beschwerdeverfahren ist unter einer neuen Verfahrens- nummer wiederaufzunehmen (Art. 128 BGG). Die Beschwerde hat auf- schiebende Wirkung, ausserdem kann der Gesuchsteller den Ausgang des Verfahrens gestützt auf Art. 42 AsylG in der Schweiz abwarten.</w:t>
      </w:r>
    </w:p>
    <w:p>
      <w:r>
        <w:t>E-3240/2022 Seite 7</w:t>
      </w:r>
    </w:p>
    <w:p>
      <w:r>
        <w:rPr>
          <w:b/>
        </w:rPr>
        <w:t>E. 4.1</w:t>
      </w:r>
    </w:p>
    <w:p>
      <w:r>
        <w:t>Bei diesem Ausgang des Revisionsverfahrens sind keine Kosten zu er- heben (Art. 63 Abs. 1 und 2 VwVG). Eine Auseinandersetzung mit dem Ge- such um Gewährung der unentgeltlichen Prozessführung für das Revisi- onsverfahren erübrigt sich.</w:t>
      </w:r>
    </w:p>
    <w:p>
      <w:r>
        <w:rPr>
          <w:b/>
        </w:rPr>
        <w:t>E. 4.2</w:t>
      </w:r>
    </w:p>
    <w:p>
      <w:r>
        <w:t>Dem vertretenen Gesuchsteller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Demnach er- übrigt sich auch eine Auseinandersetzung mit dem Gesuch um amtliche Verbeiständung für das Revisionsverfahren. Die bei den Akten liegende Kostennote erscheint den Verfahrensumstän- den angemessen. Die vom Bundesverwaltungsgericht auszurichtende Par- teientschädigung ist demnach auf Fr. 2443.40 (inkl. Auslagen und Mehr- wertsteuerzuschlag) festzusetzen.</w:t>
      </w:r>
    </w:p>
    <w:p>
      <w:r>
        <w:t>(Dispositiv nächste Seite)</w:t>
      </w:r>
    </w:p>
    <w:p>
      <w:r>
        <w:t>E-3240/2022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