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E-3240/2020 vom 11. April 2022</w:t>
      </w:r>
    </w:p>
    <w:p>
      <w:r>
        <w:t>Bundesverwaltungsgericht, 2022-04-11, DE</w:t>
      </w:r>
    </w:p>
    <w:p>
      <w:r>
        <w:rPr>
          <w:b/>
        </w:rPr>
        <w:t xml:space="preserve">Quelle: </w:t>
      </w:r>
      <w:r>
        <w:t>https://mcp.opencaselaw.ch/entscheid/bvger_E-3240_2020</w:t>
      </w:r>
    </w:p>
    <w:p>
      <w:r>
        <w:t>FR: TAF E-3240/2020 du 11 avril 2022</w:t>
      </w:r>
    </w:p>
    <w:p>
      <w:r>
        <w:t>IT: TAF E-3240/2020 del 11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14. Februar 2022 die Verfügung vom 22. Mai 2020 teilweise in Wiedererwägung gezogen, deren Dispositiv-Zif- fern 4 und 5 aufgehoben und die vorläufige Aufnahme des Beschwerde- führers infolge Unzumutbarkeit des Wegweisungsvollzuges angeordnet. Demnach erweist sich die Beschwerde diesbezüglich als gegenstandslos, weshalb sich das vorliegende Verfahren auf die Prüfung der Flüchtlingsei- genschaft, die Asylgewährung und die Aufhebung der Wegweisung be- schränkt.</w:t>
      </w:r>
    </w:p>
    <w:p>
      <w:r>
        <w:t>E-3240/2020 Seite 6</w:t>
      </w:r>
    </w:p>
    <w:p>
      <w:r>
        <w:rPr>
          <w:b/>
        </w:rPr>
        <w:t>E. 4.1</w:t>
      </w:r>
    </w:p>
    <w:p>
      <w:r>
        <w:t>Die Vorinstanz begründete ihren ablehnenden Entscheid im Wesentli- chen mit der mangelnden Glaubhaftigkeit der Vorbringen des Beschwerde- führers. Er habe wiederholt angegeben, die fluchtauslösenden Ereignisse hätten sich am 20. August 2017 zugetragen, wobei er jedoch nachweislich am 25. Juli 2017 in Griechenland ein Asylgesuch gestellt habe. Zudem sei er nicht in der Lage gewesen, diese Unstimmigkeit nachvollziehbar aufzu- lösen. Auch seine Angaben zum zeitlichen Ablauf der fluchtauslösenden Ereignisse sowie den Umständen, unter denen er vom Urteil gegen ihn er- fahren habe, seien widersprüchlich ausgefallen. Insgesamt seien seine Schilderungen unsubstanziiert und vage geblieben und würden bisweilen unlogisch erscheinen. Beispielsweise sei nicht verständlich, weshalb sein Cousin ausgerechnet ihn, der keinen Bezug zur Moschee habe, als seinen Nachfolger im Amt des Mullahs habe gewinnen wollen. Ebenfalls nicht nachvollziehbar und unlogisch scheine das äusserst schnell gesprochene Steinigungsurteil. Die persönliche Glaubwürdigkeit des Beschwerdeführers werde überdies dadurch geschmälert, dass er gegenüber den griechischen Behörden sowie zu Beginn des Asylverfahrens in der Schweiz abwei- chende Angaben hinsichtlich seiner Personalien gemacht habe und dies nicht überzeugend zu erklären vermocht habe, weshalb begründete Zwei- fel an seiner Identität bestünden.</w:t>
      </w:r>
    </w:p>
    <w:p>
      <w:r>
        <w:rPr>
          <w:b/>
        </w:rPr>
        <w:t>E. 4.2.1</w:t>
      </w:r>
    </w:p>
    <w:p>
      <w:r>
        <w:t>In der Beschwerde wurde bezüglich der Flüchtlingseigenschaft und Asylgewährung im Wesentlichen ausgeführt, ein Grossteil der Widersprü- che lasse sich dadurch erklären, dass der Beschwerdeführer Analphabet sei. So habe er etwa keine Möglichkeit gehabt die Personalien, die jeweils für ihn notiert worden seien, auf ihre Korrektheit und Einheitlichkeit zu über- prüfen. Ebenfalls unter dem Gesichtspunkt seines Analphabetismus zu würdigen seien seine Datumsangaben, zumal er sich weder mit dem per- sischen noch dem europäischen Kalender auskenne. Insgesamt seien seine Ausführungen zu seinen Asylgründen substanziiert, in sich schlüssig und plausibel ausgefallen.</w:t>
      </w:r>
    </w:p>
    <w:p>
      <w:r>
        <w:rPr>
          <w:b/>
        </w:rPr>
        <w:t>E. 4.2.2</w:t>
      </w:r>
    </w:p>
    <w:p>
      <w:r>
        <w:t>In seiner Eingabe vom 22. September 2021 führte der Beschwerde- führer in Ergänzung zu seiner Beschwerde aus, seit der Machtübernahme durch die Taliban einem erhöhten Verfolgungsrisiko ausgesetzt zu sein. Durch seine Flucht nach Europa, seinen mehrjährigen Aufenthalt in der Schweiz und seine gute Integration sei er in den Augen der Taliban ver- westlicht, es sei von einem erhöhten Risikoprofil auszugehen, weshalb ihm die Flüchtlingseigenschaft zuzuerkennen sei.</w:t>
      </w:r>
    </w:p>
    <w:p>
      <w:r>
        <w:t>E-3240/2020 Seite 7</w:t>
      </w:r>
    </w:p>
    <w:p>
      <w:r>
        <w:rPr>
          <w:b/>
        </w:rPr>
        <w:t>E. 4.3</w:t>
      </w:r>
    </w:p>
    <w:p>
      <w:r>
        <w:t>Im Rahmen des zweiten Schriftenwechsels führte die Vorinstanz hin- sichtlich der vom Beschwerdeführer beantragten Flüchtlingseigenschaft und Asylgewährung aus, dessen Verweis auf politische Entwicklungen und hypothetische Zukunftsszenarien reiche für die Annahme einer Verfol- gungsgefahr nicht aus. Aus der Beschwerde gehe sodann nicht hervor, in- wiefern der Beschwerdeführer sich seit seiner Ausreise aus Afghanistan – und insbesondere aufgrund seines mittlerweile fast vierjährigen Aufenthalts in der Schweiz – verändert habe. Es seien keine konkreten Anhaltspunkte ersichtlich, aufgrund derer er für die Taliban und die afghanische Bevölke- rung als Person identifizierbar sei, die mehrere Jahre in Europa gelebt habe. Insbesondere teile das SEM die Ansicht des Beschwerdeführers, wonach er die prägendsten Jahre seines jungen Erwachsenenlebens – von 19 bis 24 Jahre – in der Schweiz verbracht habe, nicht. Insgesamt seien den Akten keine Hinweise dafür zu entnehmen, dass der Beschwerdefüh- rer aufgrund seines sozialen Status oder einer Weltanschauung Gefahr laufe, einer Verfolgung durch die Taliban ausgesetzt zu sein. Alleine der Aufenthalt in einem westlichen Land begründe für sich genommen keine flüchtlingsrechtlich relevante Verfolgungsfurcht.</w:t>
      </w:r>
    </w:p>
    <w:p>
      <w:r>
        <w:rPr>
          <w:b/>
        </w:rPr>
        <w:t>E. 4.4</w:t>
      </w:r>
    </w:p>
    <w:p>
      <w:r>
        <w:t>Anlässlich seiner Erklärung, an den verbleibenden Rechtsbegehren festhalten zu wollen, führte der Beschwerdeführer aus, vor dem Hinter- grund derzeit stattfindender Vergeltungsaktionen der Taliban insbesondere gegen "verwestlicht" scheinende Personen, verwirkliche sich seine persön- liche Verfolgung mit beachtlicher Wahrscheinlichkeit und in absehbarer Zu- kunft. So habe er Vergeltung seitens seines Cousins, eines Mitglieds der Taliban, zu befürchten und er sei zur Steinigung verurteilt worden. Sodann habe er sich bereits in Afghanistan gegen den Besuch der Moschee ver- wahrt und gar eine Moschee niedergebrannt, womit er seine Abneigung gegenüber dem Islam unmissverständlich zum Ausdruck gebracht habe. Seit seiner Ankunft in der Schweiz habe er sich gänzlich vom Islam abge- wandt, lebe nun als Atheist und weise dadurch ein erhöhtes Risikoprofil auf, zumal in Afghanistan nur eine geringe gesellschaftliche Toleranz ge- genüber Kritik am Islam bestehe. Erschwerend hinzu komme sein mehr- jähriger Aufenthalt in einem westlichen Land.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E-3240/2020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sämtlicher Akten kommt das Bundesverwaltungsgericht zum Schluss, dass die Vorinstanz die Vorbringen des Beschwerdeführers in Bezug auf seine Asylgründe zu Recht als unglaubhaft qualifiziert hat. Die Ausführungen in der Beschwerdeschrift vermögen den Erwägungen des SEM nichts Stichhaltiges entgegenzusetzen. Somit kann vorab auf die zu- treffenden Erwägungen der angefochtenen Verfügung verwiesen werden. Als wesentlich wird Folgendes erachtet:</w:t>
      </w:r>
    </w:p>
    <w:p>
      <w:r>
        <w:rPr>
          <w:b/>
        </w:rPr>
        <w:t>E. 6.2</w:t>
      </w:r>
    </w:p>
    <w:p>
      <w:r>
        <w:t>Die Schilderungen des Beschwerdeführers zu den geltend gemachten Vorfluchtgründen sind vage ausgefallen und in sich nicht schlüssig. Der Beschwerdeführer konnte weder den Brandanschlag auf eine Moschee noch ein daraufhin angeblich gegen ihn ausgesprochenes Steinigungsur- teil plausibel machen. Selbst wenn sein Cousin, ein Mullah, ihn sofort im Verdacht gehabt hätte, erscheint es höchst unwahrscheinlich, dass er in- nerhalb von zwei Stunden eine Moschee (die Hauptmoschee des Ortes) mit 5-Liter Petrol komplett niedergebrannt hat und in diesen zwei Stunden zur Steinigung verurteilt worden sein soll (vgl. act. A24/25 F103, F123, F134 ff., F201 ff.). Die Darstellungen des eigentlichen Brandhergangs sind auch auf mehrfache Nachfrage hin unsubstanziiert geblieben (vgl. act. A24/25 F108, F113 ff., F132 f.). Der Beschwerdeführer vermochte den Brandanschlag zudem zeitlich nicht stimmig einzuordnen. Zutreffend ver- weist die Vorinstanz darauf, dass seine Angaben, wonach er den Anschlag auf die Moschee am 20. August 2017 ausgeführt habe, nicht mit der Aus- kunft der griechischen Behörden zu vereinbaren ist, gemäss welcher der</w:t>
      </w:r>
    </w:p>
    <w:p>
      <w:r>
        <w:t>E-3240/2020 Seite 9 Beschwerdeführer bereits am 25. Juli 2017 in Griechenland um Asyl nach- gesucht hat. Sein Einwand, er sei Analphabet und kenne sich mit Daten und Kalendern nicht gut aus, überzeugt in diesem Zusammenhang nicht. Es wäre zu erwarten gewesen, dass der Beschwerdeführer, der seit seiner Kindheit in der Landwirtschaft tätig gewesen sei, in der Lage wäre, Zeit- räume einzuschätzen oder Ereignisse beispielsweise in den Kontext des Erntejahres zu stellen. Die diesbezüglichen Erklärungen des Beschwerde- führers, er habe lediglich über Dritte das Datum seiner fluchtauslösenden Ereignisse in Erfahrung bringen können und könne diese Angaben nicht verifizieren oder beurteilen, ist vor diesem Hintergrund als Schutzbehaup- tung zu werten (vgl. act. A24/25 F178 ff., act. A10/13 7.02 und Beschwerde Ziff. 12). Das eingereichte Schreiben des sogenannten Ältestenrates vom</w:t>
      </w:r>
    </w:p>
    <w:p>
      <w:r>
        <w:rPr>
          <w:b/>
        </w:rPr>
        <w:t>E. 6.3</w:t>
      </w:r>
    </w:p>
    <w:p>
      <w:r>
        <w:t>Entgegen der Behauptung im Rahmen des Beschwerdeverfahrens konnte der Beschwerdeführer nicht glaubhaft darlegen, er laufe im Fall ei- ner Rückkehr Gefahr, aufgrund seines Profils von seinem Cousin im Spe- ziellen oder den Taliban im Allgemeinen behelligt zu werden. Es ist nicht davon auszugehen, dass er sich vor seiner Ausreise in einer Weise vom Islam abgewandt hätte, die einen Anknüpfungspunkt für allfällige zukünf- tige Verfolgungshandlungen darstellen würde. Insbesondere konnte er den behaupteten Brandanschlag auf eine Moschee und ein angeblich deswe- gen ergangenes Steinigungsurteil nicht glaubhaft machen. Soweit der Be- schwerdeführer vorbringt, bei einer Rückkehr als «verwestlichte» Person identifiziert zu werden und deshalb einem erhöhten Verfolgungsrisiko sei- tens der Taliban oder islamistischer Gruppierung ausgesetzt zu sein, über- zeugt dies ebenfalls nicht. Die Landesabwesenheit genügt von vornherein nicht für sich, ein Risikoprofil zu begründen. Individuelle Gründe in der Per- son des Beschwerdeführers sind wie bereits ausgeführt ebenfalls nicht er- kennbar.</w:t>
      </w:r>
    </w:p>
    <w:p>
      <w:r>
        <w:rPr>
          <w:b/>
        </w:rPr>
        <w:t>E. 6.4</w:t>
      </w:r>
    </w:p>
    <w:p>
      <w:r>
        <w:t>Zusammenfassend ist daher festzuhalten, dass die Vorinstanz die Flüchtlingseigenschaft des Beschwerdeführers zu Recht verneint und sein Asylgesuch abgewiesen hat.</w:t>
      </w:r>
    </w:p>
    <w:p>
      <w:r>
        <w:t>E-3240/2020 Seite 10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Nachdem das SEM mit Verfügung vom 14. Februar 2022 angesichts der Lage in Afghanistan die Unzumutbarkeit des Wegweisungsvollzugs festgestellt und die vorläufige Aufnahme des Beschwerdeführers angeord- net hat, erübrigen sich praxisgemäss weitere Ausführungen zur Zulässig- keit und Möglichkeit des Wegweisungsvollzugs (vgl. BVGE 2011/7 E. 8, 2009/51 E. 5.4). 8.2 Für eine Rückweisung der Sache an die Vorinstanz, welche im Hinblick auf allenfalls bestehende Wegweisungsvollzugshindernisse beantragt wurde (vgl. Beschwerde Ziffern 25, 29, 36 und 37) besteht angesichts der angeordneten vorläufigen Aufnahme (vgl. nachfolgend E. 8) keine Veran- lassung. 9. Aus diesen Erwägungen ergibt sich, dass die angefochtene Verfügung, so- weit sie nicht durch Wiedererwägung gegenstandslos geworden ist, Bun- desrecht nicht verletzt, den rechtserheblichen Sachverhalt richtig sowie vollständig feststellt (Art. 106 Abs. 1 AsylG) und auch sonst nicht zu bean- standen ist. Die Beschwerde ist insoweit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Nachdem das SEM mit Verfügung vom 14. Februar 2022 angesichts der Lage in Afghanistan die Unzumutbarkeit des Wegweisungsvollzugs festgestellt und die vorläufige Aufnahme des Beschwerdeführers angeordnet hat, erübrigen sich praxisgemäss weitere Ausführungen zur Zulässigkeit und Möglichkeit des Wegweisungsvollzugs (vgl. BVGE 2011/7 E. 8, 2009/51 E. 5.4).</w:t>
      </w:r>
    </w:p>
    <w:p>
      <w:r>
        <w:rPr>
          <w:b/>
        </w:rPr>
        <w:t>E. 8.2</w:t>
      </w:r>
    </w:p>
    <w:p>
      <w:r>
        <w:t>Für eine Rückweisung der Sache an die Vorinstanz, welche im Hinblick auf allenfalls bestehende Wegweisungsvollzugshindernisse beantragt wurde (vgl. Beschwerde Ziffern 25, 29, 36 und 37) besteht angesichts der angeordneten vorläufigen Aufnahme (vgl. nachfolgend E. 8) keine Veranlassung.</w:t>
      </w:r>
    </w:p>
    <w:p>
      <w:r>
        <w:rPr>
          <w:b/>
        </w:rPr>
        <w:t>E. 9</w:t>
      </w:r>
    </w:p>
    <w:p>
      <w:r>
        <w:t>Aus diesen Erwägungen ergibt sich, dass die angefochtene Verfügung, soweit sie nicht durch Wiedererwägung gegenstandslos geworden ist, Bundesrecht nicht verletzt, den rechtserheblichen Sachverhalt richtig sowie vollständig feststellt (Art. 106 Abs. 1 AsylG) und auch sonst nicht zu beanstanden ist. Die Beschwerde ist insoweit abzuweisen.</w:t>
      </w:r>
    </w:p>
    <w:p>
      <w:r>
        <w:rPr>
          <w:b/>
        </w:rPr>
        <w:t>E. 10</w:t>
      </w:r>
    </w:p>
    <w:p>
      <w:r>
        <w:t>Juni 2020 ist ebenfalls nicht geeignet, die Vorbringen des Beschwerde- führers zu belegen, zumal es ausschliesslich auf Grundlage der Angaben des Beschwerdeführers erstellt worden zu sein scheint und im Übrigen nicht nachvollziehbar dargelegt wurde, wie er das Dokument erhältlich ma- chen konnte (vgl. Eingabe vom 13. August 2020, S. 2).</w:t>
      </w:r>
    </w:p>
    <w:p>
      <w:r>
        <w:rPr>
          <w:b/>
        </w:rPr>
        <w:t>E. 10.1</w:t>
      </w:r>
    </w:p>
    <w:p>
      <w:r>
        <w:t>Die Kosten des Beschwerdeverfahrens und die Parteientschädigung sind dem Beschwerdeführer grundsätzlich nach dem Verhältnis von Obsie- gen und Unterliegen aufzuerlegen beziehungsweise zuzusprechen (Art. 63 Abs. 1 und Art. 64 Abs. 1 VwVG). Der Beschwerdeführer ist bezüglich sei- nes Hauptantrags auf Feststellung der Flüchtlingseigenschaft und der Asyl- gewährung unterlegen. Hinsichtlich seines Eventualbegehrens um Anord-</w:t>
      </w:r>
    </w:p>
    <w:p>
      <w:r>
        <w:t>E-3240/2020 Seite 11 nung der vorläufigen Aufnahme hat er zufolge der teilweisen Wiedererwä- gung durch das SEM obsiegt. Praxisgemäss bedeutet dies ein Obsiegen zur Hälfte.</w:t>
      </w:r>
    </w:p>
    <w:p>
      <w:r>
        <w:rPr>
          <w:b/>
        </w:rPr>
        <w:t>E. 10.2</w:t>
      </w:r>
    </w:p>
    <w:p>
      <w:r>
        <w:t>Somit wären bei diesem Verfahrensausgang die reduzierten Kosten (soweit die Abweisung der Beschwerde betreffend) dem Beschwerdeführer aufzuerlegen (Art. 63 Abs. 1 VwVG). Da mit Zwischenverfügung vom 19. August 2020 jedoch die unentgeltliche Prozessführung gemäss Art. 65 Abs. 1 VwVG gewährt wurde und seither keine Veränderung seiner finan- ziellen Verhältnisse aktenkundig geworden sind, sind keine Verfahrenskos- ten zu erheben.</w:t>
      </w:r>
    </w:p>
    <w:p>
      <w:r>
        <w:rPr>
          <w:b/>
        </w:rPr>
        <w:t>E. 10.3</w:t>
      </w:r>
    </w:p>
    <w:p>
      <w:r>
        <w:t>Mit Instruktionsverfügung vom 19. August 2020 wurde dem Be- schwerdeführer MLaw Sophia Delgado als amtliche Rechtsbeiständin bei- geordnet. Demnach ist dieser durch das Bundesverwaltungsgericht ein Ho- norar für die notwendigen Aufwendungen im Beschwerdeverfahren auszu- richten, soweit dies den abzuweisenden Teil der Beschwerde betrifft. Die Rechtsbeiständin reichte eine Honorarnote zu den Akten, in welcher sie einen Vertretungsaufwand von 160 Minuten auflistet, was angemessen er- scheint. Das Gericht geht – wie in der Instruktionsverfügung vom 19. Au- gust 2020 kommuniziert – bei amtlicher Vertretung in der Regel von einem Stundenansatz von Fr 100.– bis Fr. 150.– für nicht-anwaltliche Vertreterin- nen und Vertreter aus (vgl. Art. 12 i.V.m. Art. 10 Abs. 2 des Reglements vom 21. Februar 2008 über die Kosten und Entschädigungen vor dem Bun- desverwaltungsgericht [VGKE, SR 173.320.2]). Der Stundenansatz ist da- her von Fr. 250.– auf Fr. 150.–, und nicht wie in der Eingabe vom 9. März 2022 beantragt (Fr. 200.–/Fr. 220.–), zu kürzen. In Anwendung der mass- gebenden Bemessungsfaktoren und unter Berücksichtigung des herabge- setzten Stundenansatzes ist das vom Gericht auszurichtende, anteilige Honorar demnach auf insgesamt Fr. 220.– (inklusive anteilige Auslagen) festzulegen.</w:t>
      </w:r>
    </w:p>
    <w:p>
      <w:r>
        <w:rPr>
          <w:b/>
        </w:rPr>
        <w:t>E. 10.4</w:t>
      </w:r>
    </w:p>
    <w:p>
      <w:r>
        <w:t>Soweit der Beschwerdeführer zur Hälfte obsiegt hat, ist ihm zu Lasten der Vorinstanz eine Parteientschädigung zuzusprechen (Art. 64 VwVG; Art. 7 ff. VGKE). Gestützt auf die in Betracht zu ziehenden Bemessungs- faktoren (Art. 9–13 VGKE) ist die anteilige Parteientschädigung auf insge- samt Fr. 350.– (inkl. anteilige Auslagen) festzulegen.</w:t>
      </w:r>
    </w:p>
    <w:p>
      <w:r>
        <w:t>(Dispositiv nächste Seite)</w:t>
      </w:r>
    </w:p>
    <w:p>
      <w:r>
        <w:t>E-3240/2020 Seite 12</w:t>
      </w:r>
    </w:p>
    <w:p>
      <w:r>
        <w:t>E-3240/2020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