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E-3228/2007 vom 23. November 2007</w:t>
      </w:r>
    </w:p>
    <w:p>
      <w:r>
        <w:t>Bundesverwaltungsgericht, 2007-11-23, FR</w:t>
      </w:r>
    </w:p>
    <w:p>
      <w:r>
        <w:rPr>
          <w:b/>
        </w:rPr>
        <w:t xml:space="preserve">Quelle: </w:t>
      </w:r>
      <w:r>
        <w:t>https://mcp.opencaselaw.ch/entscheid/bvger_E-3228_2007</w:t>
      </w:r>
    </w:p>
    <w:p>
      <w:r>
        <w:t>FR: TAF E-3228/2007 du 23 novembre 2007</w:t>
      </w:r>
    </w:p>
    <w:p>
      <w:r>
        <w:t>IT: TAF E-3228/2007 del 23 novembre 2007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est entièrement compensé par l'avance de frais versée le 8 juin 2007.</w:t>
      </w:r>
    </w:p>
    <w:p>
      <w:r>
        <w:rPr>
          <w:b/>
        </w:rPr>
        <w:t>E. 3</w:t>
      </w:r>
    </w:p>
    <w:p>
      <w:r>
        <w:t>Le présent arrêt est communiqué : - au recourant, par courrier recommandé; - à l'autorité inférieure, en copie (annexe : dossier N_______); - à l'autorité cantonale compétente (...), en copie, par courrier simple. Le président du collège : La greffière : François Badoud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