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E-3226/2015 vom 16. Juni 2015</w:t>
      </w:r>
    </w:p>
    <w:p>
      <w:r>
        <w:t>Bundesverwaltungsgericht, 2015-06-16, DE</w:t>
      </w:r>
    </w:p>
    <w:p>
      <w:r>
        <w:rPr>
          <w:b/>
        </w:rPr>
        <w:t xml:space="preserve">Quelle: </w:t>
      </w:r>
      <w:r>
        <w:t>https://mcp.opencaselaw.ch/entscheid/bvger_E-3226_2015</w:t>
      </w:r>
    </w:p>
    <w:p>
      <w:r>
        <w:t>FR: TAF E-3226/2015 du 16 juin 2015</w:t>
      </w:r>
    </w:p>
    <w:p>
      <w:r>
        <w:t>IT: TAF E-3226/2015 del 16 giugno 2015</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Die Beschwerde ist in englischer Sprache und damit nicht in einer Amtssprache des Bundes (vgl. Art. 105 AsylG i.V.m. Art. 33a VwVG und Art. 70 Abs. 1 BV) abgefasst. Indes weist die Eingabe keine Unklarheiten auf, weshalb praxisgemäss auf die Einholung einer Übersetzung in eine Amtssprache zu verzichten ist (statt vieler: Urteil des Bundesverwaltungsgerichts E-3639/2013 vom 10. Juli 2013).</w:t>
      </w:r>
    </w:p>
    <w:p>
      <w:r>
        <w:rPr>
          <w:b/>
        </w:rPr>
        <w:t>E. 1.3</w:t>
      </w:r>
    </w:p>
    <w:p>
      <w:r>
        <w:t>Der Beschwerdeführer ist als Verfügungsadressat zur Beschwerdeführung legitimiert (Art. 48 VwVG). Auf die frist- und formgerecht eingereichte Beschwerde (Art. 108 Abs. 1 AsylG und Art. 52 VwVG) ist einzutreten.</w:t>
      </w:r>
    </w:p>
    <w:p>
      <w:r>
        <w:rPr>
          <w:b/>
        </w:rPr>
        <w:t>E. 2.1</w:t>
      </w:r>
    </w:p>
    <w:p>
      <w:r>
        <w:t>Mit Beschwerde kann die Verletzung von Bundesrecht und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AsylG in der bisherigen Fassung.</w:t>
      </w:r>
    </w:p>
    <w:p>
      <w:r>
        <w:rPr>
          <w:b/>
        </w:rPr>
        <w:t>E. 4.1</w:t>
      </w:r>
    </w:p>
    <w:p>
      <w:r>
        <w:t>Ein Asylgesuch kann gemäss aArt. 19 Abs. 1 AsylG im Ausland bei einer Schweizerischen Vertretung gestellt werden, die es mit einem Bericht an das Bundesamt überweist (aArt. 20 Abs. 1 AsylG).</w:t>
      </w:r>
    </w:p>
    <w:p>
      <w:r>
        <w:rPr>
          <w:b/>
        </w:rPr>
        <w:t>E. 4.2</w:t>
      </w:r>
    </w:p>
    <w:p>
      <w:r>
        <w:t>Gemäss aArt.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5.1</w:t>
      </w:r>
    </w:p>
    <w:p>
      <w:r>
        <w:t>Die Vorinstanz gelangt in der angefochtenen Verfügung zum Schluss, der Beschwerdeführer sei nicht schutzbedürftig, weshalb sein Asylgesuch abzulehnen und die Einreise in die Schweiz nicht zu bewilligen sei. Zur Begründung führt die Vorinstanz aus, für die Gewährung der Einreise in die Schweiz sei die Gefährdung einer asylsuchenden Person im Zeitpunkt der Einreisebewilligung massgebend. Die Einreisebewilligung diene nicht dem Ausgleich vergangenen Unrechts, sondern soll demjenigen gewährt werden, der aktuell des Schutzes des Zufluchtslandes bedürfe. Die vom Beschwerdeführer im Zusammenhang mit dem Krieg erlittenen Nachteile seien somit nicht einreiserelevant. Sodann stellten der Verlust des Besitzes sowie finanzielle Probleme keine einreisebeachtlichen Umstände im Sinne von Art. 3 AsylG dar.</w:t>
      </w:r>
    </w:p>
    <w:p>
      <w:r>
        <w:rPr>
          <w:b/>
        </w:rPr>
        <w:t>E. 5.2</w:t>
      </w:r>
    </w:p>
    <w:p>
      <w:r>
        <w:t>In der Rechtsmitteleingabe macht der Beschwerdeführer geltend, da der Vater und der Bruder seiner Adoptivtochter verschwunden seien, sei die Adoptivtochter gezwungen, versteckt zu leben. Dazu ist festzustellen, dass dieses Vorbringen mit den Aussagen des Beschwerdeführers anlässlich des Interviews nicht übereinstimmt, mithin dies als nicht glaubhaft zu erachten ist. Das Bundesverwaltungsgericht anerkennt sodann, dass die allgemeine Situation für die Tamilen, insbesondere im Norden und Osten Sri Lankas, während des langjährigen Bürgerkriegs schwierig war. Indes hat sich seither die allgemeine Lage in Sri Lanka wesentlich verändert. Einer erhöhten Verfolgungsgefahr sehen sich heute Personen ausgesetzt, die einer bestimmten Risikogruppe angehören (dazu im Einzelnen BVGE 2011/24). Der Beschwerdeführer gehört offensichtlich keiner dieser Gruppen an. Weitergehend legt der Beschwerdeführer mit dem sinngemässen Wiederholen seiner Asylvorbringen nicht substantiiert dar, inwiefern die angefochtene Verfügung Bundesrecht verletzen oder aus einen anderen Beschwerdegrund mangelhaft sein soll. Solches ist auch nicht ersichtlich. Dem Beschwerdeführer ist ein weiterer Verbleib in Sri Lanka zumutbar, und er ist nicht auf den Schutz der Schweiz angewiesen. Die Vorinstanz hat demnach dem Beschwerdeführer zu Recht die Einreise in die Schweiz nicht bewilligt und das Asylgesuch abgelehnt.</w:t>
      </w:r>
    </w:p>
    <w:p>
      <w:r>
        <w:rPr>
          <w:b/>
        </w:rPr>
        <w:t>E. 6</w:t>
      </w:r>
    </w:p>
    <w:p>
      <w:r>
        <w:t>Aus diesen Erwägungen ergibt sich, dass die angefochtene Verfügung Bundesrecht nicht verletzt und auch sonst nicht zu beanstanden ist (Art. 106 Abs. 1 AsylG). Die Beschwerde ist abzuweisen.</w:t>
      </w:r>
    </w:p>
    <w:p>
      <w:r>
        <w:rPr>
          <w:b/>
        </w:rPr>
        <w:t>E. 7</w:t>
      </w:r>
    </w:p>
    <w:p>
      <w:r>
        <w:t>Bei diesem Ausgang des Verfahrens wären die Kosten von Fr. 600.-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