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E-3225/2016 vom 2. Juni 2017</w:t>
      </w:r>
    </w:p>
    <w:p>
      <w:r>
        <w:t>Bundesverwaltungsgericht, 2017-06-02, DE</w:t>
      </w:r>
    </w:p>
    <w:p>
      <w:r>
        <w:rPr>
          <w:b/>
        </w:rPr>
        <w:t xml:space="preserve">Quelle: </w:t>
      </w:r>
      <w:r>
        <w:t>https://mcp.opencaselaw.ch/entscheid/bvger_E-3225_2016</w:t>
      </w:r>
    </w:p>
    <w:p>
      <w:r>
        <w:t>FR: TAF E-3225/2016 du 2 juin 2017</w:t>
      </w:r>
    </w:p>
    <w:p>
      <w:r>
        <w:t>IT: TAF E-3225/2016 del 2 giugno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unter Vorbehalt von Erwägung 5, einzutreten (Art. 108 Abs. 1 AsylG und Art. 52 Abs. 1 VwVG).</w:t>
      </w:r>
    </w:p>
    <w:p>
      <w:r>
        <w:rPr>
          <w:b/>
        </w:rPr>
        <w:t>E. 2.1</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beziehungsweise eines zweiten Richters (Art. 111 Bst. e AsylG) ohne Weiterungen und mit summarischer Begründung zu behandeln (Art. 111a Abs. 1 und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3.4</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3.5</w:t>
      </w:r>
    </w:p>
    <w:p>
      <w:r>
        <w:t>Eine asylsuchende Person muss diese zusätzlichen Anknüpfungspunkte ebenso wie ihre Vorfluchtgründe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3.6</w:t>
      </w:r>
    </w:p>
    <w:p>
      <w:r>
        <w:t>Die Vorinstanz begründet ihre Verfügung im Wesentlichen damit, dass es dem Beschwerdeführer nicht gelungen sei, seine Asylvorbringen glaubhaft zu machen - weder in Bezug auf die geltend gemachten Vorfluchtgründe (militärisches Aufgebot und Haft) noch hinsichtlich der illegalen Ausreise. Die Aussagen des Beschwerdeführers hinsichtlich seiner Schulzeit und des angeblich erhaltenen Aufgebots für den Militärdienst sowie über den Zeitpunkt der geltend gemachten Haft seien widersprüchlich. Zudem seien die diesbezüglichen Schilderungen ohne Substanz und würden jeglicher Logik entbehren, so habe er die Umstände seiner Festnahme und der Haftzeit weder anschaulich noch nachvollziehbar schildern können. Es sei zudem realitätsfremd, dass er sich noch mehrere Jahre in E._______ sowie in B._______ aufgehalten haben wolle, obwohl er doch täglich zu Hause gesucht worden sein solle. Dass die eritreischen Behörden ihn zudem täglich gesucht hätten, sei unglaubhaft. Auch die Schilderung der illegalen Ausreise in den Sudan sei hinsichtlich der Reiseroute und Reisemittel widersprüchlich ausgefallen. So sei es dem Beschwerdeführer nicht gelungen, die behauptete illegale Ausreise glaubhaft darzulegen, weshalb davon ausgegangen werde, dass dieser seinen Heimatstaat auf andere Art und Weise oder zu einem anderen Zeitpunkt verlassen habe.</w:t>
      </w:r>
    </w:p>
    <w:p>
      <w:r>
        <w:rPr>
          <w:b/>
        </w:rPr>
        <w:t>E. 3.7</w:t>
      </w:r>
    </w:p>
    <w:p>
      <w:r>
        <w:t>Der Beschwerdeführer wendet hiergegen ein, die Vorinstanz habe den herabgesetzten Beweisanforderungen gemäss Art. 7 AsylG nicht hinreichend Rechnung getragen. Ihre Erkenntnis, wonach seine Aussagen in den wesentlichen Punkten unglaubhaft seien, würde auf einer zu restriktiven Handhabung der Beweisregel von Art. 7 AsylG gründen. Zudem seien seine Vorbringen nicht oder nur in unwesentlichen Punkten widersprüchlich, was auf ein Missverständnis zwischen ihm und dem Befrager zurückzuführen sei. Wie aus dem Protokoll der Anhörung zudem ersichtlich sei, sei es ihm offensichtlich schwer gefallen, über die erlebte Inhaftierung zu sprechen. Seine Gesten sowie die Problematik, über traumatisierende Ereignisse zu sprechen, seien klar als Realkennzeichen für das tatsächlich Erlebte zu deuten. Schliesslich sei der Widerspruch in Bezug auf den Suchrhythmus auf einen Übersetzungsfehler zurückzuführen, da in Tigrinya sowohl für täglich, als auch für regelmässig dasselbe Wort verwendet werde. Er habe eigentlich zu Protokoll gegeben, dass er regelmässig gesucht worden sei. Weil der Dolmetscher das Wort bei der Rückübersetzung wieder im eigentlich gemeinten Sinn (regelmässig) vorgelesen habe, sei die Ungereimtheit nicht aufgefallen. Seine Schilderungen seien somit als glaubhaft einzustufen. Der Beschwerdeführer habe nachweisen können, dass er wegen Nichtleistens des Wehrdienstes zwei Tage inhaftiert worden sei und dass er nach seiner Entlassung untergetaucht sei, illegal ausgereist sei und sich somit seiner Militärdienstpflicht entzogen habe. Auch die illegale Ausreise aus Eritrea sei nach der konstanten Rechtsprechung des Bundesverwaltungsgerichts flüchtlingsrelevant.</w:t>
      </w:r>
    </w:p>
    <w:p>
      <w:r>
        <w:rPr>
          <w:b/>
        </w:rPr>
        <w:t>E. 3.8</w:t>
      </w:r>
    </w:p>
    <w:p>
      <w:r>
        <w:t>Diese Einwände verfangen nicht. Zur Vermeidung von Wiederholungen ist auf die zutreffenden Erwägungen der Vorinstanz zu verweisen. Ergänzend weist das Gericht auf Folgendes hin:</w:t>
      </w:r>
    </w:p>
    <w:p>
      <w:r>
        <w:rPr>
          <w:b/>
        </w:rPr>
        <w:t>E. 3.8.1</w:t>
      </w:r>
    </w:p>
    <w:p>
      <w:r>
        <w:t>Der Vorhalt des Beschwerdeführers, wonach es hinsichtlich des Schulabbruchs beziehungsweise des militärischen Aufgebots zu einem Missverständnis gekommen sein soll, geht fehl. Der Beschwerdeführer äusserte sich diesbezüglich mehrfach widersprüchlich. So gab er anlässlich der BzP zu Protokoll, dass er gezwungen gewesen sei, mit der Schule aufzuhören. Aufgrund der Schulabwesenheit habe man ihn im Jahr 2011 sodann festgenommen und ihm mitgeteilt, dass er in den Militärdienst eintreten müsse (Akten des Asylverfahrens A 6/13, 7.01). Diese Aussage widerspricht den späteren Aussagen während der Anhörung, wo er zunächst angab, die Aufforderung Mitte 2010 erhalten, dieser aber nicht Folge geleistet zu haben (Akten des Asylverfahrens A 22/20, F 12 f.), später aber zu Protokoll gab, die Aufforderung sei ihm im Januar 2010 überbracht worden und er sei direkt mitgenommen und inhaftiert worden (Akten des Asylverfahrens A 22/20, F 80 ff.). Bei diesen unterschiedlichen Aussagen handelt es sich mithin um schwerwiegende Widersprüche, welche die wesentlichen Asylvorbringen des Beschwerdeführers betreffen und daher auch zu seinen Lasten ausgelegt werden dürfen.</w:t>
      </w:r>
    </w:p>
    <w:p>
      <w:r>
        <w:rPr>
          <w:b/>
        </w:rPr>
        <w:t>E. 3.8.2</w:t>
      </w:r>
    </w:p>
    <w:p>
      <w:r>
        <w:t>Betreffend die geltend gemachte Inhaftierung stellte die Vorinstanz zutreffend fest, dass der Beschwerdeführer diese äusserst oberflächlich schilderte. Aus dem Befragungsprotokoll sind sodann keine Hinweise ersichtlich, welche für eine Traumatisierung des Beschwerdeführers sprechen würden. So hat er die diesbezüglichen Fragen klar (wenn auch sehr oberflächlich) beantwortet und zunächst auch gesagt, er könne - abgesehen von der Tatsache, dass er 24 Stunden allein in einer Zelle inhaftiert gewesen sei - nichts über die Haft berichten. Die Ausführungen des Beschwerdeführers vermitteln sodann nicht den Eindruck eines persönlichen Erlebnisses. Schliesslich machte auch die anwesende Hilfswerksvertretung keine diesbezüglichen Anmerkungen.</w:t>
      </w:r>
    </w:p>
    <w:p>
      <w:r>
        <w:rPr>
          <w:b/>
        </w:rPr>
        <w:t>E. 3.8.3</w:t>
      </w:r>
    </w:p>
    <w:p>
      <w:r>
        <w:t>Dass - wie vom Beschwerdeführer geltend gemacht - hinsichtlich der Worte täglich und regelmässig ein Übersetzungsfehler vorliegt, ist nach Durchsicht des Anhörungsprotokolls als unwahrscheinlich und nachgeschoben zu betrachten, zumal dem Beschwerdeführer betreffend den Suchrhythmus mehrere Fragen gestellt wurden und er jeweils nicht nur mit regelmässig oder täglich antwortete. Letztlich kann diese Frage jedoch offen gelassen werden, da sie nichts am Beweisergebnis zu ändern vermag.</w:t>
      </w:r>
    </w:p>
    <w:p>
      <w:r>
        <w:rPr>
          <w:b/>
        </w:rPr>
        <w:t>E. 3.8.4</w:t>
      </w:r>
    </w:p>
    <w:p>
      <w:r>
        <w:t>Aufgrund der oben dargelegten Praxisänderung (E. 3.4) kann auch die Frage der Glaubhaftigkeit der illegalen Ausreise vorliegend offen gelassen werden. Gemäss aktueller Praxis des Gerichts kann allein aufgrund einer illegalen Ausreise keine begründete Furcht vor asylrechtlich beachtlicher Verfolgung angenommen werden (ausführlich dazu Urteil D- 7898/2015 E. 4.6-5.1). Nachdem der Beschwerdeführer neben der illegalen Ausreise keine zusätzlichen Anknüpfungspunkte für eine Verschärfung seines Profils glaubhaft machen konnte, ist vorliegend nicht von einer flüchtlingsrechtlich beachtlichen Verfolgung auszugehen.</w:t>
      </w:r>
    </w:p>
    <w:p>
      <w:r>
        <w:rPr>
          <w:b/>
        </w:rPr>
        <w:t>E. 3.9</w:t>
      </w:r>
    </w:p>
    <w:p>
      <w:r>
        <w:t>Wie die Vorinstanz kommt das Gericht deshalb im Ergebnis zum Schluss, dass der Beschwerdeführer keine Verfolgung glaubhaft darzulegen vermochte und die Flüchtlingseigenschaft nicht erfüllt. Bei dieser Sachlage ist auch nicht weiter auf das Vorbringen einzugehen, die Vorinstanz habe im Zusammenhang mit dem Schulabbruch ihre Abklärungspflicht verletzt, zumal dem Beschwerdeführer diesbezüglich mehrfach Gelegenheit geboten wurde, seine Erlebnisse zu schildern. Schliesslich wurde auch das Befragungsprotokoll nach der Rückübersetzung von ihm unterzeichnet und somit als richtig befunden. Sein Asylgesuch wurde von der Vorinstanz daher zu Recht abgelehnt.</w:t>
      </w:r>
    </w:p>
    <w:p>
      <w:r>
        <w:rPr>
          <w:b/>
        </w:rPr>
        <w:t>E. 4</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w:t>
      </w:r>
    </w:p>
    <w:p>
      <w:r>
        <w:t>Die von der Vorinstanz wegen Unzumutbarkeit des Vollzugs verfügte vorläufige Aufnahme bleibt dadurch unberührt. Da die Wegweisungsvollzugshindernisse alternativer Natur sind (vgl. BVGE 2009/51 E. 5.4 S. 748), besteht - anders als in der Beschwerde vorgebracht - kein schutzwürdiges Interesse an der Überprüfung, aus welchen Gründen die Vorinstanz den Vollzug aufgeschoben hat (Art. 48 Abs. 1 Bst. c VwVG). Auf das Begehren des Beschwerdeführers, die Unzulässigkeit des Wegweisungsvollzugs festzustellen und die vorläufige Aufnahme zu gewähren, ist daher mangels Rechtsschutzinteresse nicht einzutreten. 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6</w:t>
      </w:r>
    </w:p>
    <w:p>
      <w:r>
        <w:t>Bei diesem Ausgang des Verfahrens sind die Kosten von Fr. 600.- (Art. 1- 3 des Reglements vom 21. Februar 2008 über die Kosten und Entschädigungen vor dem Bundesverwaltungsgericht [VGKE, SR 173.320.2]) dem Beschwerdeführer aufzuerlegen (Art. 63 Abs. 1 VwVG). Der am 20. Juli 2016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