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E-3223/2008 vom 29. März 2011</w:t>
      </w:r>
    </w:p>
    <w:p>
      <w:r>
        <w:t>Bundesverwaltungsgericht, 2011-03-29, DE</w:t>
      </w:r>
    </w:p>
    <w:p>
      <w:r>
        <w:rPr>
          <w:b/>
        </w:rPr>
        <w:t xml:space="preserve">Quelle: </w:t>
      </w:r>
      <w:r>
        <w:t>https://mcp.opencaselaw.ch/entscheid/bvger_E-3223_2008</w:t>
      </w:r>
    </w:p>
    <w:p>
      <w:r>
        <w:t>FR: TAF E-3223/2008 du 29 mars 2011</w:t>
      </w:r>
    </w:p>
    <w:p>
      <w:r>
        <w:t>IT: TAF E-3223/2008 del 29 marzo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112 AuG; Art. 83 Bst. c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2.1</w:t>
      </w:r>
    </w:p>
    <w:p>
      <w:r>
        <w:t>Am 1. Januar 2008 ist das AuG in Kraft getreten; gleichzeitig ist das Bundesgesetzes vom 26. März 1931 über Aufenthalt und Niederlassung der Ausländer (ANAG, BS 1 121) aufgehoben worden (vgl. Art. 125 i.V.m. Anhang Ziff. I AuG). Gemäss Art. 126a Abs. 4 AuG gilt unter Vorbehalt der Absätze 5-7 für Personen, die im Zeitpunkt des Inkrafttretens der Änderung vom 16. Dezember 2005 des Asylgesetzes vom 26. Juni 1998 (AsylG, SR 142.31) sowie des AuG vorläufig aufgenommen sind, neues Recht. Der Beschwerdeführer wurde vom BFM mit Verfügung vom 9. Januar 2007 gestützt auf Art. 44 Abs. 2 AsylG in der Fassung vom 26. Juni 1998 (AS 1999 2273) i.V.m. Art. 14a Abs. 4 ANAG vorläufig aufgenommen. Aufgrund der übergangsrechtlichen Regelung gemäss Art. 126a Abs. 4 AuG ist im vorliegenden Beschwerdeverfahren betreffend Aufhebung der vorläufigen Aufnahme zu prüfen, ob die Voraussetzungen für die Aufhebung der vorläufigen Aufnahme nach neuem Recht, mithin nach Art. 84 Abs. 2 AuG vorliegen.</w:t>
      </w:r>
    </w:p>
    <w:p>
      <w:r>
        <w:rPr>
          <w:b/>
        </w:rPr>
        <w:t>E. 2.2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2.3</w:t>
      </w:r>
    </w:p>
    <w:p>
      <w:r>
        <w:t>Bezüglich der Geltendmachung von Wegweisungsvollzugshindernis­sen gilt der gleiche Beweisstandard,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3.1.1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indessen nur Personen, welche die Flüchtlingseigenschaft im Sinne von Art. 3 AsylG respektive Art. 1 A FK erfüllen. Gestützt auf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124-127, mit weiteren Hinweisen).</w:t>
      </w:r>
    </w:p>
    <w:p>
      <w:r>
        <w:rPr>
          <w:b/>
        </w:rPr>
        <w:t>E. 3.1.2</w:t>
      </w:r>
    </w:p>
    <w:p>
      <w:r>
        <w:t>Vorab ist festzuhalten, dass die allgemeine Sicherheits- und Menschenrechtslage im kurdischen Nordirak den Wegweisungsvollzug zum heutigen Zeitpunkt nicht als unzulässig erscheinen lässt. Es kann hierzu im Detail auf den nach wie vor Gültigkeit beanspruchenden Inhalt des unter Entscheide des Schweizerischen Bundesverwaltungsgerichts (BVGE) 2008/4 publizierten Urteils verwiesen werden. Da sodann der ursprüngliche Entscheid des BFM vom 9. Januar 2007 namentlich hinsichtlich der Frage der Flüchtlingseigenschaft in Rechtskraft erwachsen ist, findet das in Art. 5 AsylG verankerte Prinzip des flüchtlingsrechtlichen Non-Refoulements im vorliegenden Verfahren keine Anwendung. Aufgrund der Aktenlage kann schliesslich ausgeschlossen werden, dass dem Beschwerdeführer bei einer Rückkehr in den Nordirak eine konkrete Gefahr im Sinne von Art. 3 EMRK droht. Soweit der Beschwerdeführer in der vorliegenden Rechtsmittelschrift lediglich seine im Asylverfahren geltend gemachte, von der Al-Kaida ausgehende Verfolgungslage wiederholt, ist - wie bereits erwähnt - festzuhalten, dass diese im ergangenen Asylentscheid als unglaubhaft erkannt worden ist, ohne dass die betreffenden Erwägungen mittels Ergreifung der dagegen zur Verfügung gestandenen Beschwerdemöglichkeit bestritten worden wären. Weitere Ausführungen dazu erübrigen sich somit.</w:t>
      </w:r>
    </w:p>
    <w:p>
      <w:r>
        <w:rPr>
          <w:b/>
        </w:rPr>
        <w:t>E. 3.1.3</w:t>
      </w:r>
    </w:p>
    <w:p>
      <w:r>
        <w:t>Zusammenfassend ist festzustellen, dass der Wegweisungsvollzug sowohl im Sinne der asyl- als auch der völkerrechtlichen Bestimmungen als zulässig zu bezeichnen ist. Eine gegenteilige Feststellung wird im Übrigen auch in der Beschwerde nicht gemacht, sondern der materielle Hauptantrag zielt einzig auf die Feststellung der Unzumutbarkeit des Wegweisungsvollzuges ab.</w:t>
      </w:r>
    </w:p>
    <w:p>
      <w:r>
        <w:rPr>
          <w:b/>
        </w:rPr>
        <w:t>E. 3.2.1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3.2.2</w:t>
      </w:r>
    </w:p>
    <w:p>
      <w:r>
        <w:t>Das Bundesverwaltungsgericht ist im Grundsatzurteil vom 14. März 2008 (BVGE 2008/5)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 wie von der Vorinstanz festgestellt -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seit Publikation des erwähnten Urteils nicht verschlechtert. In der überwiegenden Mehrheit der Berichte von Regierungs- und Nichtregierungsorganisationen sowie des UN-Sicherheitsrats wird eine insgesamt stabile Situation beschrieben (vgl. statt vieler: UNHCR, Note on the Continued Applicability of the April 2009 UNHCR Eligibility Guidelines for Assessing the International Protection Needs of Iraqi Asylum-Seekers, Juli 2010, S. 2 ff.). Der heute (...)-jährige und (mangels gegenteiliger Anhaltspunkte oder Vorbringen) gesunde und alleinstehende Beschwerdeführer stammt aus der Provinz Dohuk, wo er - (...) - seit seiner Geburt und bis zu seiner Ausreise wohnhaft war und somit auch seine persönlichkeitsprägenden Jahre verbrachte. Die Feststellung der Vorinstanz, der Beschwerdeführer verfüge in seinem Herkunftsort über ein familiäres Beziehungsnetz wird von ihm ausdrücklich anerkannt, wobei es letztlich für die Zumutbarkeitsbeurteilung nicht ausschlaggebend ist, wie viele Brüder in welchem Alter er tatsächlich hat (vgl. die sich widersprechenden Angaben gemäss [...]). Seinem Einwand, wonach ein Zurückgreifen auf dieses Beziehungsnetzes aufgrund der ihm dort drohenden Verfolgung seitens der Al-Kaida unmöglich sei, sind die Erwägungen in Ziffer 3.1.2. oben entgegenzuhalten. Zusätzlich begünstigend fallen für ihn die Berufserfahrungen als (...) und die in der Schweiz seit dem Jahre 2007 erworbenen Erfahrungen (...) ins Gewicht. Im Übrigen kann vollumfänglich auf die vorinstanzlichen Erwägungen gemäss angefochtener Verfügung verwiesen werden. Soweit der Beschwerdeführer in der Beschwerde auf seine fortgeschrittene Integration, seinen guten Leumund und seine Fürsorgeunabhängigkeit in der Schweiz aufmerksam macht, ist festzuhalten, dass die hierfür relevanten Bestimmungen betreffend die vorläufige Aufnahme infolge einer schwerwiegenden persönlichen Notlage (insb. Art. 44 Abs. 3-5 des Asylgesetzes vom 26. Juni 1998 [AsylG, SR 142.31] respektive in der Fassung vom 26. Juni 1998; AS 1999 2273) per 1. Januar 2007 aufgehoben worden sind und im vorliegenden Verfahren keine Anwendung mehr finden können. Nach geltendem Recht ist es nun den Kantonen vorbehalten, mit Zustimmung des Bundesamtes einer ihnen nach Gesetz zugewiesenen Person eine Aufenthaltsbewilligung zu erteilen, wenn wegen der fortgeschrittenen Integration ein schwerwiegender persönlicher Härtefall vorliegt (Art. 14 Abs. 2 Bst. c AsylG). Von einer dennoch mit der mehrjährigen Abwesenheit vom Heimatland allfällig in Zusammenhang stehenden reziproken Wirkung auf die Zumutbarkeitsfrage (im Sinne einer eigentlichen Entwurzelung) kann aufgrund der gesamten Akten und Umstände und angesichts des im vorangehenden Abschnitt Erwogenen vorliegend nicht ausgegangen werden.</w:t>
      </w:r>
    </w:p>
    <w:p>
      <w:r>
        <w:rPr>
          <w:b/>
        </w:rPr>
        <w:t>E. 3.2.3</w:t>
      </w:r>
    </w:p>
    <w:p>
      <w:r>
        <w:t>Gestützt auf diese Erwägungen ist zusammenfassend der Schluss zu ziehen, dass der Beschwerdeführer bei einer Rückkehr in die Provinz Dohuk keiner konkreten Gefährdung im Sinne von Art. 83 Abs. 4 AuG ausgesetzt sein wird. Der Vollzug der Wegweisung ist daher - übereinstimmend mit dem BFM - als zumutbar zu bezeichnen.</w:t>
      </w:r>
    </w:p>
    <w:p>
      <w:r>
        <w:rPr>
          <w:b/>
        </w:rPr>
        <w:t>E. 3.3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3.4</w:t>
      </w:r>
    </w:p>
    <w:p>
      <w:r>
        <w:t>Zusammenfassend ist festzustellen, dass das BFM die mit Verfügung vom 22. April 2008 angeordnete vorläufige Aufnahme des Beschwerde­führers zu Recht aufgehoben und den Wegweisungsvollzug verfügt hat.</w:t>
      </w:r>
    </w:p>
    <w:p>
      <w:r>
        <w:rPr>
          <w:b/>
        </w:rPr>
        <w:t>E. 4</w:t>
      </w:r>
    </w:p>
    <w:p>
      <w:r>
        <w:t>Aus diesen Erwägungen ergibt sich, dass die angefochtene Verfügung Bundesrecht nicht verletzt, den rechtserheblichen Sachverhalt richtig und vollständig feststellt und angemessen ist (Art. 49 VwVG). Die Beschwer­de ist daher abzuweisen.</w:t>
      </w:r>
    </w:p>
    <w:p>
      <w:r>
        <w:rPr>
          <w:b/>
        </w:rPr>
        <w:t>E. 5</w:t>
      </w:r>
    </w:p>
    <w:p>
      <w:r>
        <w:t>Bei diesem Ausgang des Verfahrens sind die Kosten in der Höhe von Fr. 600. dem Beschwerdeführer aufzuerlegen (Art. 63 Abs. 1 und 5 VwVG i.V.m. Art. 1-3 des Reglements vom 21. Februar 2008 über die Kosten und Entschädigungen vor dem Bundesverwaltungsgericht [VGKE, SR 173.320.2]). Sie sind durch den am 29. Mai 2008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