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E-3222/2015 vom 23. März 2016</w:t>
      </w:r>
    </w:p>
    <w:p>
      <w:r>
        <w:t>Bundesverwaltungsgericht, 2016-03-23, DE</w:t>
      </w:r>
    </w:p>
    <w:p>
      <w:r>
        <w:rPr>
          <w:b/>
        </w:rPr>
        <w:t xml:space="preserve">Quelle: </w:t>
      </w:r>
      <w:r>
        <w:t>https://mcp.opencaselaw.ch/entscheid/bvger_E-3222_2015</w:t>
      </w:r>
    </w:p>
    <w:p>
      <w:r>
        <w:t>FR: TAF E-3222/2015 du 23 mars 2016</w:t>
      </w:r>
    </w:p>
    <w:p>
      <w:r>
        <w:t>IT: TAF E-3222/2015 del 23 marzo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4.2</w:t>
      </w:r>
    </w:p>
    <w:p>
      <w:r>
        <w:t>Gemäss aArt. 19 Abs. 1 AsylG kann ein Asylgesuch im Ausland bei einer schweizerischen Vertretung gestellt werden, die es mit einem Bericht an das BFM (heute SEM)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5.1</w:t>
      </w:r>
    </w:p>
    <w:p>
      <w:r>
        <w:t>Die Vorinstanz begründete ihre negativen Verfügungen im Wesentlichen damit, Übergriffe durch Dritte oder Befürchtungen, künftig solchen ausgesetzt zu sein, seien für die Bewilligung einer Einreise in die Schweiz nur dann relevant, wenn der Staat seiner Schutzpflicht nicht nachkomme oder nicht in der Lage sei, Schutz zu gewähren. Bei den von der Beschwerdeführerin erwähnten Nachfragen handle es sich um Nachteile seitens unbekannter Dritter, weshalb sich diese an die heimatlichen Behörden wenden könne, um Schutz zu erhalten. Darüber hinaus erschienen diese Nachfragen nicht als besonders intensive Nachteile, seien diese doch nicht bei ihr selber sondern bei ihren Eltern und Schwiegereltern erfolgt und ihrer Beschreibung nach nicht gewalttätig ausgefallen. Auch gegen den Beschwerdeführer seien diese Massnahmen offensichtlich nicht gerichtet gewesen, weshalb ihnen aufgrund mangelnder Intensität kein Verfolgungscharakter zukomme. Ausserdem handle es sich bei diesen Problemen um Nachteile, die sich aus lokal oder regional beschränkten Verfolgungsmassnahmen ableiten liessen. Die Beschwerdeführenden könnten sich diesen Verfolgungsmassnahmen durch einen Wegzug in einen anderen Teil Sri Lankas entziehen und seien somit nicht auf den Schutz der Schweiz angewiesen. Demnach seien die geltend gemachten Vorbringen nicht einreiserelevant. Die Beschwerdeführenden seien nicht schutzbedürftig im Sinne des Asylgesetzes, weshalb ihre Asylgesuche abzulehnen und die Einreise in die Schweiz zu verweigern sei.</w:t>
      </w:r>
    </w:p>
    <w:p>
      <w:r>
        <w:rPr>
          <w:b/>
        </w:rPr>
        <w:t>E. 5.2</w:t>
      </w:r>
    </w:p>
    <w:p>
      <w:r>
        <w:t>In ihrer Beschwerde wiederholten die Beschwerdeführenden im Wesentlichen ihre bisherigen Vorbringen. Sie würden sich seit dem Verschwinden ihres Ehemannes beziehungsweise Vaters am 5. August 2000 in Colombo in grosser Gefahr befinden. Sie würden von Personen belästigt und bedroht, die nach dem Ehemann und Vater suchten. Die Unbekannten würden die Beschwerdeführerin immer wieder bei ihr zu Hause suchen. Der Beschwerdeführer macht geltend, seine Ausbildung leide stark darunter, dass er in ständiger Angst lebe. 6.1 Vorliegend gelangt das Bundesverwaltungsgericht nach eingehender Prüfung der Akten in Übereinstimmung mit dem SEM zum Schluss, dass die Vorbringen der Beschwerdeführenden die Intensität einer asylrelevanten Verfolgung nicht zu erreichen vermögen und somit als nicht einreiserelevant einzustufen sind. 6.2 Die Vorinstanz hat zutreffend festgestellt, dass die Nachfragen nach dem Ehemann und Vater nicht als besonders intensive Nachteile erscheinen. Dies insbesondere auch deshalb, da diese Nachfragen nicht bei den Beschwerdeführenden selber, sondern bei den Eltern beziehungsweise Grosseltern erfolgten und nicht als gewalttätig beschrieben wurden. Hätten diese Personen ein wirkliches Interesse an den Beschwerdeführenden persönlich gehabt, hätten sie diese aufgesucht. Die Beschwerdeführerin sagt zwar, sie wechsle immer wieder den Wohnort. Gemäss eigenen Angaben halte sie sich aber jeweils bei Verwandten auf. Es ist davon auszugehen, dass es den Unbekannten im Laufe der letzten 15 Jahre gelungen wäre, sie aufzusuchen. Dies gilt umso mehr für den Beschwerdeführer, welcher regelmässig die Schule besucht. Ebenfalls zutreffend erscheint die Aussage der Vorinstanz wonach es sich bei den Problemen um lokal oder regional beschränkte Verfolgungsmassnahmen handle. Die Beschwerdeführenden können sich diesen durch einen Wegzug in ein anderes Gebiet entziehen. Dazu kommt, dass es sich vorliegend um eine Verfolgung durch Dritte handelt, welche für die Bewilligung einer Einreise in die Schweiz nur relevant ist, wenn der Staat seiner Schutzpflicht nicht nachkommt oder nicht in der Lage ist, Schutz zu gewähren. Die Beschwerdeführenden haben sich indessen gemäss Akten nicht um den Schutz der sri-lankischen Behörden bemüht und legen auch nicht dar, weshalb diese nicht schutzfähig oder -willig sein sollten. Der Vollständigkeit halber bleibt festzustellen, dass ausserdem Zweifel an der Glaubhaftigkeit der Aussagen bestehen. So fallen diese im Allgemeinen substanzlos aus und enthalten gewisse Widersprüche, wie beispielsweise die Aussage in der Beschwerde, der Ehemann beziehungsweise Vater werde seit dem 5. August 2000 vermisst, wobei die Beschwerdeführerin anlässlich der Befragung ausgesagt hatte, dieser werde seit 1996 vermisst (vgl. vorinstanzliche Akten A24). 6.3 Zusammenfassend ergibt sich, dass die geltend gemachten Vorbringen nicht einreiserelevant sind und das SEM die Erteilung der Einreisebewilligungen zu Recht verweigert und die Asylgesuche abgewiesen hat.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