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E-321/2015 vom 21. Januar 2015</w:t>
      </w:r>
    </w:p>
    <w:p>
      <w:r>
        <w:t>Bundesverwaltungsgericht, 2015-01-21, DE</w:t>
      </w:r>
    </w:p>
    <w:p>
      <w:r>
        <w:rPr>
          <w:b/>
        </w:rPr>
        <w:t xml:space="preserve">Quelle: </w:t>
      </w:r>
      <w:r>
        <w:t>https://mcp.opencaselaw.ch/entscheid/bvger_E-321_2015</w:t>
      </w:r>
    </w:p>
    <w:p>
      <w:r>
        <w:t>FR: TAF E-321/2015 du 21 janvier 2015</w:t>
      </w:r>
    </w:p>
    <w:p>
      <w:r>
        <w:t>IT: TAF E-321/2015 del 21 gennaio 2015</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in Asylsachen kann die Verletzung von Bundesrecht sowie die unrichtige oder unvollständige Feststellung des rechtserheblichen Sachverhalts (Art. 106 Abs. 1 AsylG). Keinen Rügegrund stellt gemäss dem seit 1. Februar 2014 geltenden Recht die Unangemessenheit dar (Art. 106 Abs. 1 Bst. c aAsylG).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3.2</w:t>
      </w:r>
    </w:p>
    <w:p>
      <w:r>
        <w:t>Nach Art. 31a Abs. 1 Bst. a AsylG tritt das BFM auf ein Asylgesuch in der Regel nicht ein, wenn Asylsuchende in einen sicheren Drittstaat nach Art. 6a Abs. 2 Bst. b zurückkehren können, in welchem sie sich vorher aufgehalten haben.</w:t>
      </w:r>
    </w:p>
    <w:p>
      <w:r>
        <w:rPr>
          <w:b/>
        </w:rPr>
        <w:t>E. 4</w:t>
      </w:r>
    </w:p>
    <w:p>
      <w:r>
        <w:t>Die Vorinstanz stellt in der angefochtenen Verfügung fest, einerseits handle es sich bei Italien um einen sicheren Drittstaat, andererseits sei der Beschwerdeführer in Italien als Flüchtling anerkannt worden und die zuständigen Behörden hätten der Rückübernahme zugestimmt. Bei dieser Sachlage könne der Beschwerdeführer den Nachweis eines schutzwürdigen Interesses zur Feststellung der Flüchtlingseigenschaft in der Schweiz nicht erbringen.</w:t>
      </w:r>
    </w:p>
    <w:p>
      <w:r>
        <w:rPr>
          <w:b/>
        </w:rPr>
        <w:t>E. 5.1</w:t>
      </w:r>
    </w:p>
    <w:p>
      <w:r>
        <w:t>In der Rechtmitteleingabe wird vorab eine Verletzung des Akteneinsichtsrechts gerügt. Die Vorinstanz lasse in der angefochtenen Verfügung durchblicken, dass sie an der in der Vergangenheit gelebten Beziehung des Beschwerdeführers und seiner Ehefrau zweifle. Die Vorinstanz hat in der angefochtenen Verfügung die Frage, ob der Beschwerdeführer überhaupt eine tatsächlich gelebte und dauerhafte Beziehung zu seiner Ehefrau geführt hat, offen gelassen. Daraus lassen sich indes noch keine Zweifel an der Beziehung ableiten. Entsprechend hat die Vorinstanz denn auch weder die Akten der Ehefrau zum Verfahren des Beschwerdeführers beigezogen noch hat sie die angefochtene Verfügung auf Aussagen der Ehefrau anlässlich der Befragungen abgestützt. Bei dieser Sachlage war die Vorinstanz denn auch nicht gehalten, dem Beschwerdeführer Einsicht in die Akten der Ehefrau zu gewähren. Die Rüge erweist sich demnach als unbegründet. Folglich besteht auch keine Veranlassung zur Ansetzung einer Frist zur Einreichung einer Stellungnahme. Der Antrag ist abzuweisen.</w:t>
      </w:r>
    </w:p>
    <w:p>
      <w:r>
        <w:rPr>
          <w:b/>
        </w:rPr>
        <w:t>E. 5.2</w:t>
      </w:r>
    </w:p>
    <w:p>
      <w:r>
        <w:t>Dass es sich bei Italien um einen verfolgungssicheren Drittstaat handelt, in welchem der Beschwerdeführer als Flüchtling anerkannt und ihm eine Aufenthaltsbewilligung erteilt wurde, wird in der Rechtsmitteleingabe zu Recht nicht in Frage gestellt. Die Vorinstanz ist daher mit zutreffender Begründung auf das Asylgesuch nicht eingetreten.</w:t>
      </w:r>
    </w:p>
    <w:p>
      <w:r>
        <w:rPr>
          <w:b/>
        </w:rPr>
        <w:t>E. 6.1</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(BVGE 2009/50 E. 9 S. 733). Die Wegweisung wurde zu Recht angeordnet.</w:t>
      </w:r>
    </w:p>
    <w:p>
      <w:r>
        <w:rPr>
          <w:b/>
        </w:rPr>
        <w:t>E. 6.2</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7.1</w:t>
      </w:r>
    </w:p>
    <w:p>
      <w:r>
        <w:t>Zur Zulässigkeit des Vollzugs der Wegweisung führt die Vorinstanz in der angefochtenen Verfügung aus, die Ehefrau des Beschwerdeführers sei in der Schweiz als Flüchtling vorläufig aufgenommen worden. Gemäss bundesgerichtlicher Rechtsprechung könne sich nur auf Art. 8 EMRK berufen, wer ein gefestigtes Anwesenheitsrecht, namentlich das Schweizer Bürgerrecht oder eine Niederlassungsbewilligung in der Schweiz habe. Solches habe die Ehefrau nicht. Nach Art. 85 Abs. 7 AuG (SR 142.20) könnten vorläufig Aufgenommene frühestens drei Jahre nach Anordnung der vorläufigen Aufnahme ein Gesuch um Familiennachzug stellen. Der Beschwerdeführer habe demnach den Familiennachzug in Italien abzuwarten. Allenfalls könne er auch dort ein Gesuch um Familiennachzug für seine Ehefrau stellen.</w:t>
      </w:r>
    </w:p>
    <w:p>
      <w:r>
        <w:rPr>
          <w:b/>
        </w:rPr>
        <w:t>E. 7.2</w:t>
      </w:r>
    </w:p>
    <w:p>
      <w:r>
        <w:t>In der Rechtsmitteleingabe wird geltend gemacht, die Vorinstanz verkenne, dass ein völkerrechtlich begründeter Anspruch auf Erneuerung der Aufenthaltsbewilligung eine Berufung auf die Verfassungsrechte und Art. 8 EMRK zulasse. Die Anwesenheit von vorläufig aufgenommenen Flüchtlingen sei auf Dauer angelegt. Aufgrund ihrer Flüchtlingseigenschaft erwachse ihnen ein hinreichend stabiler Anspruch auf Anwesenheit in der Schweiz.</w:t>
      </w:r>
    </w:p>
    <w:p>
      <w:r>
        <w:rPr>
          <w:b/>
        </w:rPr>
        <w:t>E. 7.3</w:t>
      </w:r>
    </w:p>
    <w:p>
      <w:r>
        <w:t>Art. 8 EMRK garantiert das Recht auf Achtung des Privat- und Familienlebens, enthält indes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nach bundesgerichtlicher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w:t>
      </w:r>
    </w:p>
    <w:p>
      <w:r>
        <w:rPr>
          <w:b/>
        </w:rPr>
        <w:t>E. 7.4</w:t>
      </w:r>
    </w:p>
    <w:p>
      <w:r>
        <w:t>Der Beschwerdeführer selbst kann sich nicht auf den Schutzbereich von Art. 8 EMRK berufen, da er ohne Aufenthaltstitel und illegal in die Schweiz eingereist ist. Seine Ehefrau hält sich seit dem 25. Juni 2012 hier auf und wurde als Flüchtling vorläufig aufgenommen. Der Beschwerdeführer verkennt, dass Flüchtlinge, die kein Asyl erhalten, lediglich einen dauerhaften Anspruch auf Nichtrückschiebung haben. Weitergehendes regelt das Völkerrecht nicht, namentlich nicht den sich daraus ergebenden Aufenthaltstitel. Dieser beurteilt sich einzig nach dem schweizerischen Ausländerrecht. Demnach werden Flüchtlinge, die kein Asyl erhalten, vorläufig aufgenommen (Art. 83 Abs. 8 AuG). Die vorläufige Aufnahme bildet indes keine Aufenthaltsbewilligung, sondern einen vor-übergehenden Status, solange der Vollzug der Wegweisung nicht durchführbar ist (BGE 137 II 305 E. 3.1; BGE 138 I 246 E. 2.3). Als vorläufig aufgenommener Flüchtling verfügt die Ehefrau des Beschwerdeführers somit nicht über ein gefestigtes Anwesenheitsrecht im Sinne der Rechtsprechung. Wer über kein gefestigtes Anwesenheitsrecht verfügt, kann ein solches grundsätzlich auch nicht einem Dritten verschaffen, selbst wenn eine gelebte familiäre Beziehung zur Diskussion stünde (BGE 130 II 281 E. 3.1). Der Beschwerdeführer kann somit keinen grundsätzlichen Anspruch aus Art. 8 EMRK ableiten, welcher der Wegweisungsverfügung entgegensteht (BGE 126 II 335 E. 2c, aa). Bei dieser Sachlage braucht nicht näher überprüft zu werden, ob vorliegend von einer nahen, echten und gelebten Familienbeziehung auszugehen ist. Auf die entsprechenden Ausführungen in der Rechtsmitteleingabe ist nicht weiter einzugehen. Soweit der Beschwerdeführer geltend macht, die Vorinstanz habe im Rückübernahmeersuchen unterlassen, seine Ehefrau zu erwähnen, bestand dazu offensichtlich keine Veranlassung. Es bestand und besteht kein Anknüpfungspunkt im Sinne eines bisherigen Aufenthalts der Ehefrau des Beschwerdeführers in Italien. Wie die Vorinstanz zu Recht festgestellt hat, kann indes der Beschwerdeführer als in Italien anerkannter Flüchtling nach erfolgter Rückkehr allenfalls ein Gesuch um Familiennachzug an die italienischen Behörden unter Hinweis auf Art. 8 EMRK stellen (BVGE 2012/4 E. 4.4.4). Der Vollzug der Wegweisung ist demnach zulässig. Weitergehend äussert sich der Beschwerdeführer in der Rechtsmitteleingabe weder zur Zumutbarkeit noch zur Möglichkeit des Vollzugs der Wegweisung. Um Wiederholungen zu vermeiden, kann auf die zutreffenden Erwägungen in der angefochtenen Verfügung verwiesen werden.</w:t>
      </w:r>
    </w:p>
    <w:p>
      <w:r>
        <w:rPr>
          <w:b/>
        </w:rPr>
        <w:t>E. 8</w:t>
      </w:r>
    </w:p>
    <w:p>
      <w:r>
        <w:t>Nach dem Gesagten ergibt sich, dass die angefochtene Verfügung Bundesrecht nicht verletzt und auch sonst nicht zu beanstanden ist. Die Beschwerde ist abzuweisen.</w:t>
      </w:r>
    </w:p>
    <w:p>
      <w:r>
        <w:rPr>
          <w:b/>
        </w:rPr>
        <w:t>E. 9.1</w:t>
      </w:r>
    </w:p>
    <w:p>
      <w:r>
        <w:t>Der Beschwerdeführer beantragt die Gewährung der unentgeltlichen Rechtspflege gemäss Art. 65 Abs. 1 und 2 VwVG. Aufgrund der vorstehenden Erwägungen ergibt sich, dass seine Begehren als aussichtslos zu gelten haben. Damit ist eine der kumulativ zu erfüllenden Voraussetzungen nicht gegeben, weshalb den Gesuchen um Gewährung der unentgeltlichen Prozessführung und Verbeiständung nicht stattzugeben ist.</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Mit dem Urteil wird das Gesuch um Erlass des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