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E-3219/2017 vom 29. August 2018</w:t>
      </w:r>
    </w:p>
    <w:p>
      <w:r>
        <w:t>Bundesverwaltungsgericht, 2018-08-29, DE</w:t>
      </w:r>
    </w:p>
    <w:p>
      <w:r>
        <w:rPr>
          <w:b/>
        </w:rPr>
        <w:t xml:space="preserve">Quelle: </w:t>
      </w:r>
      <w:r>
        <w:t>https://mcp.opencaselaw.ch/entscheid/bvger_E-3219_2017</w:t>
      </w:r>
    </w:p>
    <w:p>
      <w:r>
        <w:t>FR: TAF E-3219/2017 du 29 août 2018</w:t>
      </w:r>
    </w:p>
    <w:p>
      <w:r>
        <w:t>IT: TAF E-3219/2017 del 29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Entscheidend ist, ob eine Gesamtwürdigung der Vorbringen ergibt, dass die Gründe, die für die Richtigkeit der Sachverhaltsdarstellung der asylsuchenden Person sprechen, überwiegen oder nicht (vgl. BVGE 2010/57 E. 2.6, EMARK 2004 Nr. 1 E. 5 S. 4 ff., m.w.H.).</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ist, dass keine flüchtlings- oder wegweisungsbeachtlichen Gründe gegen eine Rückkehr an ihren bisherigen Aufenthaltsort bestehen; denn die Abklärungspflicht der Asylbehörden findet ihre Grenze an der Mitwirkungspflicht der asylsuchenden Person. Für asylsuchende Personen tibetischer Ethnie, welche unglaubhafte Angaben über ihren angeblichen Sozialisierungsraum in China machen und vermutungsweise im Exil, vorab in Indien oder Nepal, gelebt haben, bestehen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ergibt sich folgendes Prüfschema: Besitzt die betreffende Person die chinesische Staatsangehörigkeit und verfügt sie gleichzeitig über eine Aufenthaltsberechtigung im Drittstaat Nepal oder Indien (Konstellation b) oder wird die Person im betreffenden Drittstaat zumindest geduldet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infolge Erwerbs einer neuen die chinesische Staatsangehörigkeit untergeht. Allerdings muss davon ausgegangen werden, dass die in Nepal und Indien lebenden Exil-Tibeterinnen und -Tibeter grösstenteils keine neue Staatsangehörigkeit erworben haben und nach wie vor chinesische Staatsangehörige sind. Verunmöglicht eine tibetische asylsuchende Person durch die Verletzung ihrer Mitwirkungspflicht allerdings die Abklärung, welchen effektiven Status sie in Nepal respektive in Indien innehat, kann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(BVGE 2014/12 E. 5.9 f.).</w:t>
      </w:r>
    </w:p>
    <w:p>
      <w:r>
        <w:rPr>
          <w:b/>
        </w:rPr>
        <w:t>E. 5.1</w:t>
      </w:r>
    </w:p>
    <w:p>
      <w:r>
        <w:t>Aufgrund der vorliegenden Aktenlage besteht Grund zur Annahme, dass der Beschwerdeführer seine wahre Herkunft zu verschleiern versucht und ihm damit nicht geglaubt werden kann, dass er in der Provinz F._______ und somit in der Volksrepublik China seine Hauptsozialisation erfahren hat. Das SEM liess sowohl eine Alltagswissensevaluation als auch eine linguistische Analyse der Sprechweise des Beschwerdeführers durchführen. Beide Experten kamen zum Schluss, die Wahrscheinlichkeit, dass der Beschwerdeführer im von ihm behaupteten geografischen Raum sozialisiert worden sei, sei gering. Gemäss den Werdegängen der sachverständigen Personen, die dem Beschwerdeführer offengelegt wurden, sind ihre Qualifikationen - entgegen der vom Beschwerdeführer im Laufe des Verfahrens geäusserten Ansicht - nicht zu beanstanden. Da es sich bei ihnen um amtsexterne Fachpersonen handelt, sind ihre Aussagen auch nicht mit Quellen zu belegen (vgl. BVGE 2015/10 E. 5.2.2.2). Der Offenlegung von Beispielen stehen zudem - wie vom SEM zurecht vorgebracht - tatsächlich wesentliche Geheimhaltungsinteressen im Sinne von Art. 27 Abs. 1 Bst. a VwVG entgegen. Des Weiteren sind die beiden Expertisen fundiert und die daraus resultierenden Gutachten nachvollziehbar und schlüssig begründet. Insbesondere wurden die Argumente, die für und gegen eine Sozialisation im vom Beschwerdeführer behaupteten geographischen Raum sprechen, in umfassender Weise gegeneinander abgewogen. Die Vorbringen, der Beschwerdeführer habe im Wesentlichen von seiner Mutter, die in Lhasa sozialisiert worden sei, sprechen gelernt und der Experte habe statt dem Dialekt von D._______ jenen von H._______ als Referenzdialekt herbeigezogen, vermögen die Feststellung des Experten, der Sprachgebrauch des Beschwerdeführers weise Formen auf, die aus dem Exiltibetischen stammten und im Innertibetischen ungrammatisch seien, nicht zu erklären. So handelt es sich sowohl beim Dialekt von Lhasa als auch bei jenem von D._______ um innertibetische Dialekte. Dass der Beschwerdeführer seine Sprechweise einzig während seines behaupteterweise relativ kurzen Aufenthalts ausserhalb seiner Heimatregion derart stark an die exiltibetische Koine angepasst haben soll, kann vor dem Hintergrund seines Vorbringens, er habe den Dialekt in seinem Heimatdorf während (...) Jahren kaum angenommen, sondern wie seine Mutter mehrheitlich Lhasa-Tibetisch gesprochen, nicht geglaubt werden. Folglich ist bereits aufgrund der Sprechweise des Beschwerdeführers nicht glaubhaft, dass er aus der Provinz F._______ stammt. Auch die Ergebnisse der Alltagswissensevaluation lassen insgesamt keinen anderen Schluss zu, selbst wenn der Beschwerdeführer einzelne Fragen korrekt beantworten konnte. Daran ändern auch seine dagegen vorgebrachten Argumente nichts, da sie weitgehend unplausibel sind. Zwar ist es möglich, dass der Fluss, der durch sein behauptetes Heimatdorf fliesst, in Abschnitte mit unterschiedlichen Namen unterteilt ist. Dennoch ist aber zu erwarten, dass die Bewohner der Anrainerdörfer nicht nur den Namen der einzelnen Flussabschnitte, sondern auch des gesamten Flusses kennen. Seine Erklärung, er habe die Preise von Produkten nicht gekannt, weil sein Vater sich um die Einkäufe gekümmert habe, vermag für eine über 20-jährige Person überdies nicht zu überzeugen. Aus demselben Grund ist auch schwer nachvollziehbar, weshalb er nicht erklären konnte, wie er zu seiner chinesischen Identitätskarte - die er bis heute nicht einreichen konnte - gekommen sei. Die von ihm geltend gemachte Hauptsozialisation in der Provinz F._______ ist demnach unglaubhaft. Auch die auf Beschwerdeebene eingereichten Beweismittel lassen keinen anderen Schluss zu. Das SEM hat demnach die Herkunft des Beschwerdeführers - entgegen der Behauptung in der Rechtsmitteleingabe - nach der Kassation der Verfügung vom 8. September 2015 in rechtsgenüglicher Weise abgeklärt. Inwiefern seine psychischen Probleme bei der Ermittlung des Sachverhalts hätten berücksichtigt werden müssen, ist insofern unklar, als aus dem ins Recht gelegten Arztzeugnis nicht hervorgeht, welchen Einfluss seine gesundheitlichen Beschwerden auf sein Aussageverhalten gehabt haben könnten.</w:t>
      </w:r>
    </w:p>
    <w:p>
      <w:r>
        <w:rPr>
          <w:b/>
        </w:rPr>
        <w:t>E. 5.2</w:t>
      </w:r>
    </w:p>
    <w:p>
      <w:r>
        <w:t>Des Weiteren sind auch die Vorfluchtgründe des Beschwerdeführers wenig plausibel ausgefallen. Diesbezüglich wird im Wesentlichen auf die Argumente in der angefochtenen Verfügung verwiesen. Im Besonderen ist dem SEM darin zuzustimmen, dass es unlogisch erscheint, dass der Beschwerdeführer in einer Situation wie der von ihm geschilderten (ein Polizist bedrängt eine Frau) plötzlich Parolen wie "Freies Tibet" und "Lang lebe der Dalai Lama" zu rufen beginnt. Vielmehr entsteht tatsächlich der Eindruck, dass er sein Vorbringen dadurch mit einem politischen Aspekt versehen wollte, der seine Flucht rechtfertigen sollte. Mit Bezug zu seinen Vorfluchtgründen nicht klar ist aber ohnehin, wie der Polizist seine Identität in Erfahrung bringen konnte und weshalb es dem Beschwerdeführer nicht möglich war, wie später seine ganze Familie, nach G._______ zu fliehen.</w:t>
      </w:r>
    </w:p>
    <w:p>
      <w:r>
        <w:rPr>
          <w:b/>
        </w:rPr>
        <w:t>E. 5.3</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das SEM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tragen (vgl. BVGE 2014/12 E. 5.10).</w:t>
      </w:r>
    </w:p>
    <w:p>
      <w:r>
        <w:rPr>
          <w:b/>
        </w:rPr>
        <w:t>E. 5.4</w:t>
      </w:r>
    </w:p>
    <w:p>
      <w:r>
        <w:t>Zusammenfassend ist demnach festzuhalten, dass zwar davon auszugehen ist, dass der Beschwerdeführer tibetischer Ethnie ist. Jedoch entbehren seine geltend gemachten Vorbringen hinsichtlich des Ortes seiner hauptsächlichen Sozialisation und seine Asylvorbringen insgesamt der Glaubhaftigkeit. Folglich ist es ihm nicht gelungen, für den Zeitpunkt seiner Ausreise eine asylrechtlich relevante Verfolgung, die er in seiner Heimat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Das SEM hat somit zu Recht seine Flüchtlingseigenschaft verneint und sein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 auch nicht seine psychischen Beschwerden, für die er seit einiger Zeit keine Behandlung mehr in Anspruch genommen hat - gegen eine Rückkehr an den bisherigen Aufenthaltsort, da dieser den Behörden unbekannt ist und der Beschwerdeführer damit keine konkreten, glaubhaften Hinweise geliefert hat, die gegen eine Rückkehr dorthin sprechen würden. Somit hat das SEM auch zu Recht festgehalten, dass seinem Gesundheitszustand lediglich bei der Ausgestaltung der Vollzugsmodalitäten Rechnung getragen werden könne.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Dieser stellte in seiner Rechtsmitteleingabe vom 7. Juni 2017 jedoch ein Gesuch um unentgeltliche Prozessführung, welches das Gericht mit Instruktionsverfügung vom 15. Juni 2017 guthiess. Folglich sind ihm keine Verfahrenskosten aufzuerlegen.</w:t>
      </w:r>
    </w:p>
    <w:p>
      <w:r>
        <w:rPr>
          <w:b/>
        </w:rPr>
        <w:t>E. 9.2</w:t>
      </w:r>
    </w:p>
    <w:p>
      <w:r>
        <w:t>Nachdem mit Zwischenverfügung vom 15. Juni 2017 auch das Gesuch um Gewährung der unentgeltlichen Rechtsverbeiständung gutgeheissen wurde, ist dem amtlich bestellten Rechtsbeistand zulasten der Gerichtskasse ein Honorar für seine Bemühungen auszurichten. Der amtliche Rechtsbeistand reichte zusammen mit der Beschwerdeschrift eine Kostennote ein, in der er einen Aufwand von 7 Stunden ausweist. Dies erscheint für die 16-seitige Beschwerdeschrift angemessen. Darin noch nicht berücksichtigt sind die 1-seitige Eingabe vom 27. Juni 2017, die 1-seitige Eingabe vom 4. Juli 2017 und die 2-seitige Eingabe vom 23. Juli 2018. Für diese ist ein zusätzlicher Aufwand von 2 Stunden einzurechnen. Beim praxisgemässen Stundenansatz von Fr. 150.- und Auslagen von Fr. 90.- beläuft sich das amtliche Honorar auf Fr. 1'440.-. Mehrwertsteuern sind keine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