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E-3217/2022 vom 2. August 2022</w:t>
      </w:r>
    </w:p>
    <w:p>
      <w:r>
        <w:t>Bundesverwaltungsgericht, 2022-08-02, DE</w:t>
      </w:r>
    </w:p>
    <w:p>
      <w:r>
        <w:rPr>
          <w:b/>
        </w:rPr>
        <w:t xml:space="preserve">Quelle: </w:t>
      </w:r>
      <w:r>
        <w:t>https://mcp.opencaselaw.ch/entscheid/bvger_E-3217_2022</w:t>
      </w:r>
    </w:p>
    <w:p>
      <w:r>
        <w:t>FR: TAF E-3217/2022 du 2 août 2022</w:t>
      </w:r>
    </w:p>
    <w:p>
      <w:r>
        <w:t>IT: TAF E-3217/2022 del 2 agosto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2.1</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2.3</w:t>
      </w:r>
    </w:p>
    <w:p>
      <w:r>
        <w:t>In der Beschwerde wird in formeller Hinsicht gerügt, die Vorinstanz habe den Sachverhalt unzureichend abgeklärt und den Untersuchungsgrundsatz sowie die Begründungspflicht verletzt. Diese Rügen sind vorab zu beurteilen, da sie allenfalls geeignet wären, eine Kassation der vorinstanzlichen Verfügung zu bewirken.</w:t>
      </w:r>
    </w:p>
    <w:p>
      <w:r>
        <w:rPr>
          <w:b/>
        </w:rPr>
        <w:t>E. 2.3.1</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2.3.2</w:t>
      </w:r>
    </w:p>
    <w:p>
      <w:r>
        <w:t>Die Beschwerdeführer machen geltend, die Vorinstanz habe den Sachverhalt in Hinblick auf die generelle Gefahr für Asylsuchende, in Kroatien einer unmenschlichen oder erniedrigenden Behandlung ausgesetzt zu werden, nicht abgeklärt. Zudem seien die Frage einer individuellen Gefährdung nach Art. 3 EMRK sowie in diesem Zusammenhang die zwingenden Gründe für die Ausübung der Ermessensklausel und einen Selbsteintritt, insbesondere auch im Hinblick auf das Non-Refoulement-Gebot, nicht geprüft worden. Das SEM habe es auch versäumt zu prüfen, ob die Beschwerdeführer allenfalls einer Kategorie besonders verletzlicher Personen zuzurechnen seien, die bei einer Überstellung nach Kroatien Gefahr laufen könnten, aufgrund der dort eventuell festzustellenden Mängel des Asylverfahrens und der Aufnahmebedingungen eine Verletzung ihrer Grundrechte zu erleiden. Entgegen der Vorbringen der Beschwerdeführer hat die Vorinstanz in der angefochtenen Verfügung nachvollziehbar dargelegt, weshalb sie eine Überstellung nach Kroatien als zuständigen Dublin-Mitgliedstaat als zulässig erachtet und ist in ihren diesbezüglichen Ausführungen auch auf allfällige Mängel im kroatischen Asylsystem, etwa die Aufnahmebedingungen, den Zugang zum Asylverfahren und die medizinische Versorgung sowie die Einhaltung der völkerrechtlichen Verpflichtungen durch Kroatien eingegangen. Die Verfügung enthält auch - im angemessenen Rahmen der Begründung eines Nichteintretensentscheids - eine Darstellung des Sachverhalts, die ausreicht um nachzuvollziehen, weshalb die Vorinstanz zum Schluss kam, es lägen keine Elemente vor, aufgrund derer sie auf das Gesuch hätte eintreten müssen. Alleine der Umstand, dass die Beschwerdeführer eine andere Auffassung, namentlich zur Situation von Asylsuchenden im kroatischen Asylsystem, vertreten, begründet noch keine Verletzung von verfahrensrechtlichen Vorschriften. Die Ausführungen der Beschwerdeführer tangieren denn auch im Wesentlichen materielle und nicht formelle Aspekte. Im Übrigen zeigt die Beschwerdeeingabe, dass eine sachgerechte Anfechtung der vorinstanzlichen Verfügung ohne weiteres möglich war. Die Rüge der Verletzung des Untersuchungsgrundsatzes ist demgemäss unbegründet.</w:t>
      </w:r>
    </w:p>
    <w:p>
      <w:r>
        <w:rPr>
          <w:b/>
        </w:rPr>
        <w:t>E. 2.3.3</w:t>
      </w:r>
    </w:p>
    <w:p>
      <w:r>
        <w:t>Die Beschwerdeführer monieren, die Vorinstanz habe im Hinblick auf die Sachverhaltsfeststellung zur Beurteilung der Zulässigkeit und der Zumutbarkeit der Überstellung der Beschwerdeführer nach Kroatien die Begründungspflicht verletzt. Das Beschwerdevorbringen ist gänzlich allgemein gehalten und erweist sich als nicht substantiiert: Es ergibt sich aus der Beschwerdeschrift nicht, inwiefern und in Bezug auf welche Aspekte die Vorinstanz seine Begründungspflicht verletzt haben soll. Nach Ansicht des Gerichts ist die Verfügung der Vorinstanz - auch im Lichte des oben unter 2.3.2 Gesagten - rechtsgenüglich begründet. Die rechtliche Würdigung der Begründung ist wiederum eine materielle Frage, die nachfolgend zu prüfen ist. Es liegt somit keine Verletzung der Begründungspflicht (Art. 35 Abs. 1 VwVG) vor.</w:t>
      </w:r>
    </w:p>
    <w:p>
      <w:r>
        <w:rPr>
          <w:b/>
        </w:rPr>
        <w:t>E. 2.3.4</w:t>
      </w:r>
    </w:p>
    <w:p>
      <w:r>
        <w:t>Die formellen Rügen erweisen sich angesichts dieser Sachlage als unbegründet, weshalb keine Veranlassung besteht, die angefochtene Verfügung aufzuheben und die Sache an die Vorinstanz zurückzuweisen. Das entsprechende Rechtsbegehren ist somit abzuweisen.</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8 -15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Die Beschwerdeführer bestreiten nicht, in Kroatien ein Asylgesuch eingereicht zu haben. Nachdem die kroatischen Behörden innert der in Art. 25 Abs. 1 Dublin-III-VO festgelegten Frist dem Wiederaufnahmegesuch des SEM zugestimmt haben, ist die Zuständigkeit von Kroatien grundsätzlich gegeben.</w:t>
      </w:r>
    </w:p>
    <w:p>
      <w:r>
        <w:rPr>
          <w:b/>
        </w:rPr>
        <w:t>E. 4.1</w:t>
      </w:r>
    </w:p>
    <w:p>
      <w:r>
        <w:t>Erweist es sich als unmöglich,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ist grundsätzlich davon auszugehen, dass es seinen entsprechenden völkerrechtlichen Verpflichtungen nachkommt. Es darf ausserdem davon ausgegangen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Gemäss Praxis des Bundesverwaltungsgerichts im Bereich der Wiederaufnahmeverfahren liegen zum heutigen Zeitpunkt keine Gründe für die Annahme vor, das Asylverfahren und die Aufnahmebedingungen für Antragstellende in Kroatien würden systemische Schwachstellen im Sinne von Art. 3 Abs. 2 Sätze 2 und 3 Dublin-III-VO aufweisen (vgl. dazu beispielsweise die Urteile des BVGer F-1653/2022 vom 21. April 2022 E. 6.2; D-1404/2022 vom 30. März 2022; D-735/2022 vom 28. Februar 2022 E. 6.5.2; D-735/2022 vom 22. Februar 2022 E. 6.5.2).</w:t>
      </w:r>
    </w:p>
    <w:p>
      <w:r>
        <w:rPr>
          <w:b/>
        </w:rPr>
        <w:t>E. 4.3</w:t>
      </w:r>
    </w:p>
    <w:p>
      <w:r>
        <w:t>Die Vorinstanz hat in Beachtung des Referenzurteils des Bundesverwaltungsgerichts E-3078/2019 vom 12. Juli 2019 eine Einzelfallprüfung vorgenommen und ist unter Verweis auf Abklärungen durch die Schweizer Botschaft in Kroatien zum Schluss gekommen, dass Personen, welche im Rahmen eines Dublin-Verfahrens nach Kroatien zurückgeführt werden, nicht von der problematischen Push-back-Praxis betroffen sind (vgl. Urteil des BVGer F-1653/2022 vom 21. April 2022 E. 6.3 m.w.H.).</w:t>
      </w:r>
    </w:p>
    <w:p>
      <w:r>
        <w:rPr>
          <w:b/>
        </w:rPr>
        <w:t>E. 4.4</w:t>
      </w:r>
    </w:p>
    <w:p>
      <w:r>
        <w:t>Sofern in der Beschwerde vorgebracht wird, die Beschwerdeführer seien von den kroatischen Behörden unter Zwang und Misshandlungen an die kroatisch-bosnische Grenze verbracht worden, gilt es festzustellen, dass im vorinstanzlichen Verfahren keiner der Beschwerdeführer ein solches Erlebnis auch nur ansatzweise angedeutet hat. Der Beschwerdeführer 1 hat einzig zu Protokoll gegeben, ihm sei gedroht worden, er müsse an die bosnische Grenze zurückkehren, im Falle er seine Fingerabdrücke nicht abgäbe. Im Übrigen haben die Beschwerdeführer angegeben, sie hätten in Kroatien - abgesehen vom Vorfall mit der Klimaanlage im Auto - keine Gewalt erlebt (SEM-Akte 1171014-43/3) beziehungsweise ihnen sei nichts angetan worden (SEM-Akte 1171014-42/3). Zudem haben alle drei Beschwerdeführer zu Protokoll gegeben, sie seien nach der Registrierung noch am gleichen Tag in ein Camp in Zagreb gebracht worden, in dem es gemäss ihren Aussagen «gut» (SEM-Akte 1171014-43/3) beziehungsweise «normal» (SEM-Akte 1171014-42/3) gewesen sei; es habe sich um ein ehemaliges Hotel gehandelt. Somit erweisen sich auch die Beschwerdevorbringen, wonach die Beschwerdeführer in den Dublin-Gesprächen detaillierte Angaben zu den in Kroatien erlittenen Misshandlungen gemacht hätten und einem der Beschwerdeführer vor der Rückführung an die bosnische Grenze seine Kleidung und sein Handy abgenommen worden seien (Beschwerde S. 14 f.), als völlig aus der Luft gegriffen, indem sie sich in keiner Weise mit den (tatsächlichen) Aussagen der Beschwerdeführer decken. Dasselbe gilt für die mit nichts belegte Andeutung, die Beschwerdeführer seien mit Tränengas betäubt in Lieferwagen an die Grenze verbracht worden (Beschwerde S. 15). Es werden diesbezüglich in der Beschwerde auch keine weitergehenden Erklärungen vorgebracht. Soweit in der Beschwerde schliesslich geltend gemacht wird, die Beschwerdeführer würden von den kroatischen Behörden gewaltsam zurück an die kroatisch-bosnische Grenze gebracht, um dort türkischstämmigen Soldaten übergeben zu werden (Beschwerde S. 14), kann ebenfalls auf das Gesagte verwiesen werden.</w:t>
      </w:r>
    </w:p>
    <w:p>
      <w:r>
        <w:rPr>
          <w:b/>
        </w:rPr>
        <w:t>E. 4.5</w:t>
      </w:r>
    </w:p>
    <w:p>
      <w:r>
        <w:t>Gestützt auf die vorangegangenen Erwägungen ist auch unter Berücksichtigung der von den Beschwerdeführern geschilderten Erlebnisse nicht davon auszugehen, Kroatien verstosse systematisch gegen seine vertraglichen Verpflichtungen. Unter diesen Umständen ist die Anwendung von Art. 3 Abs. 2 Dublin-III-VO nicht gerechtfertigt.</w:t>
      </w:r>
    </w:p>
    <w:p>
      <w:r>
        <w:rPr>
          <w:b/>
        </w:rPr>
        <w:t>E. 5.1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5.2</w:t>
      </w:r>
    </w:p>
    <w:p>
      <w:r>
        <w:t>Die Beschwerdeführer haben kein konkretes und ernsthaftes Risiko dargetan, die kroatischen Behörden würden sich weigern, sie wieder aufzunehmen und ihren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Beschwerdeführer nicht substantiiert dargetan, die sie bei einer Rückführung erwartenden Bedingungen in Kroatien seien derart schlecht, dass sie zu einer Verletzung von Art. 4 der EU-Grundrechtecharta, Art. 3 EMRK oder Art. 3 FoK führen könnten. Die Beschwerdeführer haben auch keine konkreten Hinweise für die Annahme dargetan, Kroatien würde ihnen dauerhaft die ihnen gemäss Aufnahmerichtlinie zustehenden minimalen Lebensbedingungen vorenthalten. Bei einer allfälligen vorübergehenden Einschränkung könnten sie sich im Übrigen nötigenfalls an die dortigen Behörden wenden und die ihnen zustehenden Aufnahmebedingungen auf dem Rechtsweg einfordern (vgl. Art. 26 Aufnahmerichtlinie).</w:t>
      </w:r>
    </w:p>
    <w:p>
      <w:r>
        <w:rPr>
          <w:b/>
        </w:rPr>
        <w:t>E. 5.3</w:t>
      </w:r>
    </w:p>
    <w:p>
      <w:r>
        <w:t>Was den medizinischen Sachverhalt anbelangt, so kann eine zwangsweise Rückweisung von Personen mit gesundheitlichen Problemen nur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20126, Grosse Kammer 41738/10, §§ 180-193 m.w.H.). Gemäss den Akten gibt die Beschwerdeführerin 2 an, sie habe Myome, welche sie zur gynäkologischen Vorsorge kontrollieren lassen möchte, und sie leide während ihrer Periode unter Migräne. Bezüglich der Beschwerdeführerin 4 gab sie im Dublin-Gespräch zu Protokoll, diese leide an Entzündungen im Blut, die in der Türkei mit Antibiotika behandelt worden seien, wobei sie die Weiterführung dieser Therapie in der Schweiz wünsche. Den Akten lässt sich weiter entnehmen, dass die Beschwerdeführerin 2 gegenüber dem Gesundheitsdienst in Bezug auf ihre Tochter ausgesagt hat, es handle sich um ein gesundes Kind. Es sind aus den Akten in Bezug auf die Beschwerdeführerin 4 entsprechend keine ausstehenden ärztlichen Termine ersichtlich. Gemäss den von der Vorinstanz am 20. Juli 2022 eingeholten Auskünften wurde für den Beschwerdeführer 3 ein Termin in der Pädiatrie des E._______-Spitals angefragt, der sich als nicht möglich erwies, da der Beschwerdeführer 3 seit dem (...) sechzehn Jahre alt ist. Seither ist beim Gesundheitsdienst keine Anfrage bezüglich des Beschwerdeführers 3 mehr eingegangen, womit auch in seinem Fall keine Arzttermine ausstehend sind (SEM-Akte 1171014-53/1). Der Beschwerdeführer 1 hat gemäss eigenen Angaben keine gesundheitlichen Probleme. Bei dieser Sachlage kann ausgeschlossen werden, dass eine Überstellung nach Kroatien eine tatsächliche Gefahr (real risk) einer Verletzung von Art. 3 EMRK mit sich bringen würde (vgl. BVGE 2011/9 E. 7 mit Hinweisen auf die Rechtsprechung des EGMR sowie Urteil des EGMR P. gegen Belgien vom 13. Dezember 2016 [Nr. 41738/10]). Bei den Beschwerdeführern handelt es sich eindeutig nicht um schwer erkrankte Asylbewerber. Im Übrigen ist darauf hinzuweisen, dass Kroatien grundsätzlich über eine ausreichende medizinische Infrastruktur verfügt (Urteil des BVGer D-735/2022 vom 28. Februar 2022 E. 6.7.3).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zu gewähren (Art. 19 Abs. 2 Aufnahmerichtlinie). Es liegen damit keine Hinweise vor, wonach das Land seinen Verpflichtungen im Rahmen der Dublin-III-VO in medizinischer Hinsicht nicht nachkommen würde. Wie von der Vorinstanz zutreffend ausgeführt, kann somit davon ausgegangen werden, dass eine allfällige weitere Abklärung der Beschwerden der Beschwerdeführer 3 und 4 sowie - falls notwendig - eine entsprechende Behandlung auch in Kroatien verfügbar ist. Dasselbe gilt für die von der Beschwerdeführerin 2 gewünschte gynäkologische Untersuchung sowie die Weiterbehandlung ihrer Migräne. Bezüglich der Reisefähigkeit sowie der Durchführung der Überstellung (Art. 31 und Art. 32 Dublin-III-VO) kann im Übrigen ebenfalls auf die zutreffenden Ausführungen der Vorinstanz verwiesen werden.</w:t>
      </w:r>
    </w:p>
    <w:p>
      <w:r>
        <w:rPr>
          <w:b/>
        </w:rPr>
        <w:t>E. 5.4</w:t>
      </w:r>
    </w:p>
    <w:p>
      <w:r>
        <w:t>Zusammenfassend liegt kein Grund vor für die Anwendung der Ermessensklauseln von Art. 17 Dublin-III-VO beziehungsweise Art. 29a Abs. 3 AsylV 1. Weder ist die Schweiz völkerrechtlich verpflichtet, auf das Asylgesuch einzutreten, noch liegen humanitäre Gründe vor, welche einen Selbsteintritt nahelegen würden. Die Vorinstanz ist daher zu Recht gestützt auf Art. 31a Abs. 1 Bst. b AsylG auf das Asygesuch der Beschwerdeführer nicht eingetreten und hat die Überstellung nach Kroatien angeordnet.</w:t>
      </w:r>
    </w:p>
    <w:p>
      <w:r>
        <w:rPr>
          <w:b/>
        </w:rPr>
        <w:t>E. 6</w:t>
      </w:r>
    </w:p>
    <w:p>
      <w:r>
        <w:t>Nach dem Gesagten ist die Beschwerde abzuweisen und mit dem Urteil in der Sache wird das Gesuch um Erteilung der aufschiebenden Wirkung gegenstandslos. Der angeordnete Vollzugsstopp fällt mit vorliegendem Urteil dahin.</w:t>
      </w:r>
    </w:p>
    <w:p>
      <w:r>
        <w:rPr>
          <w:b/>
        </w:rPr>
        <w:t>E. 7</w:t>
      </w:r>
    </w:p>
    <w:p>
      <w:r>
        <w:t>7.1 Die Begehren erweisen sich als aussichtslos, weshalb das Gesuch um Gewährung der unentgeltlichen Prozessführung ungeachtet einer allfälligen prozessualen Bedürftigkeit abzuweisen ist (Art. 65 Abs. 1 VwVG).</w:t>
      </w:r>
    </w:p>
    <w:p>
      <w:r>
        <w:rPr>
          <w:b/>
        </w:rPr>
        <w:t>E. 7.2</w:t>
      </w:r>
    </w:p>
    <w:p>
      <w:r>
        <w:t>Bei diesem Ausgang des Verfahrens sind die Kosten den Beschwerdeführern aufzuerlegen (Art. 63 Abs. 1 VwVG) und auf insgesamt Fr. 750.- festzusetzen (Art. 1-3 des Reglements vom 21. Februar 2008 über die Kosten und Entschädigungen vor dem Bundesverwaltungsgericht [VGKE, SR 173.320.2]).</w:t>
      </w:r>
    </w:p>
    <w:p>
      <w:r>
        <w:rPr>
          <w:b/>
        </w:rPr>
        <w:t>E. 8</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