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E-3210/2016 vom 1. Juni 2016</w:t>
      </w:r>
    </w:p>
    <w:p>
      <w:r>
        <w:t>Bundesverwaltungsgericht, 2016-06-01, DE</w:t>
      </w:r>
    </w:p>
    <w:p>
      <w:r>
        <w:rPr>
          <w:b/>
        </w:rPr>
        <w:t xml:space="preserve">Quelle: </w:t>
      </w:r>
      <w:r>
        <w:t>https://mcp.opencaselaw.ch/entscheid/bvger_E-3210_2016</w:t>
      </w:r>
    </w:p>
    <w:p>
      <w:r>
        <w:t>FR: TAF E-3210/2016 du 1 juin 2016</w:t>
      </w:r>
    </w:p>
    <w:p>
      <w:r>
        <w:t>IT: TAF E-3210/2016 del 1 giugno 2016</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Die Rechtsprechung stellt hohe Anforderungen für die Annahme von Massnahmen, die einen unerträglichen psychischen Druck erzeugen. So muss es sich um systematische Beeinträchtigungen der persönlichen Freiheit oder körperlichen Unversehrtheit handeln, welche in einer objektiven Sichtweise einen Verbleib im Heimatstaat als unzumutbar erscheinen lassen (vgl. BVGE 2010/28, E. 3.3.1.1). In mehreren Urteilen hat das Gericht dargelegt, dass selbst wiederholte Todesdrohungen in der Regel nicht den Schluss auf ernsthafte Nachteile zulassen (vgl. z. B. das Urteil des BVGer D-3764/2014 vom 21. Mai 2015, E. 7.4, welchem wesentlich ausgeprägtere Todesdrohungen zugrunde lagen; vgl. darüber hinaus auch Urteil des BVGer E-2490/2014 vom 9. Dezember 2015, E. 6.2). Im vorliegenden Fall erreichen der dokumentierte Telefonanruf von einer unbekannten arabischsprechenden Person sowie die einmalige Todesdrohung durch die Aufschrift an der Haustür die erforderliche Schwelle offensichtlich nicht.</w:t>
      </w:r>
    </w:p>
    <w:p>
      <w:r>
        <w:rPr>
          <w:b/>
        </w:rPr>
        <w:t>E. 3.3</w:t>
      </w:r>
    </w:p>
    <w:p>
      <w:r>
        <w:t>Eine begründete Furcht vor Verfolgung läge vor, wenn für die Beschwerdeführer konkreter Anlass zur Annahme bestünde,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m. w. H.). In diesem Zusammenhang ist darauf hinzuweisen, dass die Beschwerdeführerin lediglich Mutmassungen darüber anstellt, wer die Urheber des Telefonanrufs sowie der Aufschrift an der Haustür gewesen sind. Selbst wenn sie aufgrund des tödlichen Sprengstoffattentats auf ihren Cousin väterlicherseits subjektiv nachvollziehbarerweise Furcht empfunden hat, liegen im vorliegenden Fall keine Hinweise vor, dass die unbekannten Urheber der Todesdrohungen ihre Drohungen in die Tat umgesetzt hätten. Wie die Vorinstanz zurecht anmerkt, sind diese Drohungen vor dem Hintergrund der allgemeinen Sicherheitslage in Syrien zu sehen, besonders da die Beschwerdeführerin und ihr Ehemann lediglich Hilfstätigkeiten für die YPG ausgeführt haben und insofern kein ausgeprägtes politisches Profil besitzen. Selbst wenn die Vermutung der Beschwerdeführerin zutrifft, und die Urheber der Drohung dem ISIS angehören, können die Beschwerdeführerin und ihr Mann deshalb nicht als Hauptzielscheibe für Angriffe islamistischer Fundamentalisten angesehen werden. Hinzu kommt, dass der ISIS in den letzten Monaten in der Provinz Al-Hasakah und insbesondere in der Umgebung von Qamischli entscheidend an Terrain und Einfluss verloren hat (vgl. die Übersicht des Carter Centers, Tracking the Frontlines in Syria, abrufbar unter &lt;http://www.cartercenter.org/syria-conflict-map/&gt;, zuletzt abgerufen am 31. Mai 2016), so dass im heutigen Zeitpunkt keine begründete Furcht vor Verfolgung ersichtlich ist.</w:t>
      </w:r>
    </w:p>
    <w:p>
      <w:r>
        <w:rPr>
          <w:b/>
        </w:rPr>
        <w:t>E. 3.4</w:t>
      </w:r>
    </w:p>
    <w:p>
      <w:r>
        <w:t>Vor diesem Hintergrund braucht auf die Ausführungen der Vorinstanz bezüglich der fehlenden Gezieltheit der Verfolgung nicht eingegangen zu werden. Die Vorinstanz hat die Flüchtlingseigenschaft der Beschwerdeführer zu Recht verneint und folglich auch ihr Asylgesuch abgewiesen.</w:t>
      </w:r>
    </w:p>
    <w:p>
      <w:r>
        <w:rPr>
          <w:b/>
        </w:rPr>
        <w:t>E. 4</w:t>
      </w:r>
    </w:p>
    <w:p>
      <w:r>
        <w:t>Lehnt das SEM das das Asylgesuch ab oder tritt es darauf nicht ein, so verfügt es in der Regel die Wegweisung aus der Schweiz und ordnet den Vollzug an; es berücksichtigt dabei den Grundsatz der Einheit der Familie (Art. 44 AsylG). Die Beschwerdeführer verfügen weder über eine ausländerrechtliche Aufenthaltsbewilligung noch über einen Anspruch auf Erteilung einer solchen. Die Wegweisung wurde demnach zu Recht angeordnet (Art. 44 AsylG; vgl. BVGE 2013/37 E 4.4; 2009/50 E. 9, je m.w.H.).</w:t>
      </w:r>
    </w:p>
    <w:p>
      <w:r>
        <w:rPr>
          <w:b/>
        </w:rPr>
        <w:t>E. 5</w:t>
      </w:r>
    </w:p>
    <w:p>
      <w:r>
        <w:t>Aus den vorangegangenen Erwägungen kann nicht geschlossen werden, die Beschwerdeführer seien angesichts der aktuellen Lage in Syrien dort nicht gefährdet. Eine solche Gefährdung ist aber nur unter dem Aspekt von Art. 83 Abs. 3 oder 4 AuG (SR 142.20) zu prüfen, wonach der Wegweisungsvollzug für ausländische Personen nicht zulässig ist, wenn völkerrechtliche Verpflichtungen der Schweiz einer Weiterreise in den Heimat-, Herkunfts- oder in einen Drittstaat entgegenstehen, beziehungsweise unzumutbar sein kann, wenn sie im Heimat- oder Herkunftsstaat aufgrund von Situationen wie Krieg, Bürgerkrieg, allgemeiner Gewalt und medizinischer Notlage konkret gefährdet sind. Der Gefährdung der Beschwerdeführer aufgrund der aktuellen Situation in Syrien wurde durch das SEM mit der Anordnung ihrer vorläufigen Aufnahme wegen Unzumutbarkeit des Wegweisungsvollzugs Rechnung getragen. Die Frage der Zulässigkeit des Wegweisungsvollzugs war nicht Gegenstand der vorliegend zu prüfenden Beschwerde und ist folglich nicht mehr zu prüfen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Die gestellten Begehren erweisen sich als aussichtslos, weshalb das Gesuch um Gewährung der unentgeltlichen Rechtspflege ungeachtet einer allfälligen prozessualen Bedürftigkeit abzuweisen ist (Art. 65 Abs. 1 VwVG). Ins Gewicht fällt dabei namentlich, dass bei Sichtung der öffentlich zugänglichen Rechtsprechung des Bundesverwaltungsgerichts ohne weiteres ersichtlich gewesen wäre, dass der geltend gemachten Drohung die erforderliche Verfolgungsintensität im Sinne von Art. 3 AsylG fehlte. Mit dem vorliegenden Entscheid wird das Gesuch um Verzicht auf die Erhebung eines Kostenvorschusses gegenstandslos.</w:t>
      </w:r>
    </w:p>
    <w:p>
      <w:r>
        <w:rPr>
          <w:b/>
        </w:rPr>
        <w:t>E. 8</w:t>
      </w:r>
    </w:p>
    <w:p>
      <w:r>
        <w:t>Bei diesem Ausgang des Verfahrens sind die Kosten den Beschwerdeführern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