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E-3200/2012 vom 21. August 2012</w:t>
      </w:r>
    </w:p>
    <w:p>
      <w:r>
        <w:t>Bundesverwaltungsgericht, 2012-08-21, DE</w:t>
      </w:r>
    </w:p>
    <w:p>
      <w:r>
        <w:rPr>
          <w:b/>
        </w:rPr>
        <w:t xml:space="preserve">Quelle: </w:t>
      </w:r>
      <w:r>
        <w:t>https://mcp.opencaselaw.ch/entscheid/bvger_E-3200_2012</w:t>
      </w:r>
    </w:p>
    <w:p>
      <w:r>
        <w:t>FR: TAF E-3200/2012 du 21 août 2012</w:t>
      </w:r>
    </w:p>
    <w:p>
      <w:r>
        <w:t>IT: TAF E-3200/2012 del 21 agosto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wurde aus prozessökonomischen Gründen und angesichts der Kürze der Eingabeverzichtet; diese wurde indessen von Amtes wegen auf Kosten des Gerichts übersetzt. Abgesehen vom sprachlichen Mangel haben die Beschwerdeführenden die Beschwerde frist- und formgerecht eingereicht. Sie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 solches Rechtsmittel, weshalb der Beschwerdeentscheid nur summarisch zu begründen ist (Art. 111a Abs. 2 AsylG). Gestützt auf Art. 111a Abs. 1 AsylG wurde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so wird die asylsuchende Per­son von der Vertretung aufgefordert, ihre Asylgründe schriftlich fest­zu­halten (Art. 10 Abs. 2 AsylV 1).</w:t>
      </w:r>
    </w:p>
    <w:p>
      <w:r>
        <w:rPr>
          <w:b/>
        </w:rPr>
        <w:t>E. 4.2</w:t>
      </w:r>
    </w:p>
    <w:p>
      <w:r>
        <w:t>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Eine Befragung bezie­hungsweise schriftliche Sachverhalts­abklärung kann sich auch dann erübrigen, wenn der Sachver­halt bereits auf­grund des ein­gereichten Asylgesuchs als entscheid­reif erstellt er­scheint (vgl. hierzu a.a.O. E. 5.7).</w:t>
      </w:r>
    </w:p>
    <w:p>
      <w:r>
        <w:rPr>
          <w:b/>
        </w:rPr>
        <w:t>E. 4.2.1</w:t>
      </w:r>
    </w:p>
    <w:p>
      <w:r>
        <w:t>Vorliegend fand eine mündliche Befragung der Beschwerdeführenden aus Kapazitätsgründen nicht statt. Das BFM stellte vor diesem Hintergrund in der Zwischenverfügung vom 15. Februar 2010 fest, der entscheidwesentliche Sachverhalt werde - auch angesichts der eingereichten ausführlichen Dokumentation - als erstellt erachtet, und forderte die Beschwerdeführenden zur Einreichung einer schriftlichen Stellungnahme auf. Davon haben die Beschwerdeführenden innerhalb der ihnen angesetzten Frist keinen Gebrauch gemacht. Die Vorinstanz wandte sich schliesslich vor ihrer (zweiten) Verfügung vom 19. April 2012 zwecks weiterer Abklärungen erneut an die Botschaft in Bogotá. Die Beschwerdeführenden nahmen dazu am 4. Dezember 2011 Stellung. Zudem nahm das BFM eine summarische Übersetzung des schriftlichen Asylgesuchs vom 24. Juli 2009 vor.</w:t>
      </w:r>
    </w:p>
    <w:p>
      <w:r>
        <w:rPr>
          <w:b/>
        </w:rPr>
        <w:t>E. 4.2.2</w:t>
      </w:r>
    </w:p>
    <w:p>
      <w:r>
        <w:t>Die Beschwerdeführenden haben ihre persönliche Situation im erst- und zweitinstanzlichen Verfahren in verschiedenen Eingaben detailliert geschildert und mit verschiedenen Beweismitteln dokumentiert.</w:t>
      </w:r>
    </w:p>
    <w:p>
      <w:r>
        <w:rPr>
          <w:b/>
        </w:rPr>
        <w:t>E. 4.2.3</w:t>
      </w:r>
    </w:p>
    <w:p>
      <w:r>
        <w:t>Das Bundesverwaltungsgericht beurteilt den rechtserheblichen Sachverhalt bei dieser Aktenlage nunmehr als hinreichend erstellt und genügend abgeklärt ist.</w:t>
      </w:r>
    </w:p>
    <w:p>
      <w:r>
        <w:rPr>
          <w:b/>
        </w:rPr>
        <w:t>E. 5</w:t>
      </w:r>
    </w:p>
    <w:p>
      <w:r>
        <w:t>Folglich bleibt zu prüfen, ob das Bundesamt zu Recht das Asylgesuch abgewiesen und den Beschwerdeführenden die Einreise in die Schweiz verweigert hat.</w:t>
      </w:r>
    </w:p>
    <w:p>
      <w:r>
        <w:rPr>
          <w:b/>
        </w:rPr>
        <w:t>E. 5.1</w:t>
      </w:r>
    </w:p>
    <w:p>
      <w:r>
        <w:t>Das BFM kann ein im Ausland gestelltes Gesuch ablehnen, wenn die asylsuchenden Personen keine Verfolgung glaubhaft machen können oder ihnen die Aufnahme in einem Drittstaat zugemutet werden kann (vgl. Art. 3, Art. 7 und 52 [Abs. 2] AsylG). Gemäss Art. 20 Abs. 2 AsylG be­will­ligt das BFM Asylsuchenden die Einreise zur Abklärung des Sachverhalts, wenn es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einer Einreise­be­will­li­gung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6.1</w:t>
      </w:r>
    </w:p>
    <w:p>
      <w:r>
        <w:t>Die Vorinstanz hat in ihrer Verfügung zu Recht darauf hingewiesen, dass es sich bei den Beschwerdeführenden nicht um landesweit bekannte Persönlichkeiten handelt, weshalb für sie innerstaatliche Fluchtalternativen bestehen und sie sich in einer anderen Region innerhalb von Kolumbien den Übergriffen seitens der Verfolger zumindest vorübergehend entziehen können. Überdies stellt sich aufgrund der aus dem Jahre 2007 oder früher stammenden eingereichten Beweismittel die Frage nach der Aktualität der Verfolgung; die später angeblich bis im Jahr 2011 stattgefundenen telefonischen Drohungen müssen mangels Intensität als nicht im Sinne von Art. 3 AsylG relevante Nachteile angesehen werden. Sonstigen Verfolgungsmassnahmen seit 2009 wurden nicht geltend gemacht. Zudem leben die Beschwerdeführenden seit 2007 in Bogotá. Den Akten sind keine asylrelevanten Gründe zu entnehmen, weshalb ihnen dies in Zukunft nicht mehr möglich sein sollte.</w:t>
      </w:r>
    </w:p>
    <w:p>
      <w:r>
        <w:rPr>
          <w:b/>
        </w:rPr>
        <w:t>E. 6.2</w:t>
      </w:r>
    </w:p>
    <w:p>
      <w:r>
        <w:t>Abgesehen davon hat das BFM zutreffend festgestellt, dass es den Beschwerdeführenden zuzumuten wäre, in einem anderen Land um Asylgewährung nachzusuchen (vgl. Art. 52 Abs. 2 AsylG). So sind namentlich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insbesondere denjenigen zu Panama und Venezuela, in den letzten Jahren zu unkontrollierten Rückschiebungen durch die Grenzbehörden gekommen sein soll). Für die praktische Möglichkeit und die Zumutbarkeit der anderweitigen Schutzsuche spricht im Weiteren die Möglichkeit der visumsfreien Einreise nach Brasilien, Ecuador und Peru sowie der Um­stand, dass jährlich mehrere Tausend kolumbianische Staatsangehörige in den Nachbarstaaten, namentlich in Ecuador, um Asyl nachsuchen und dort zu einem be­trächtlichen Teil auch als Flüchtlinge anerkannt werden. Insgesamt erge­ben sich keine Anhaltspunkte, die darauf schliessen liessen, es sei den Beschwerdeführenden unmöglich oder unzumutbar, sich in einen anderen Staat, insbesondere in einen der Nach­barstaaten Kolumbiens, zu begeben (vgl. EMARK 2004 Nr. 20 und EMARK 1997 Nr. 15 E. 2f S. 132; vgl. etwa auch die Urteile des Bundesverwaltungsge­richts E-2299/2012 vom 12. Mai 2012 und D-1466/2012 vom 23. März 2012). Dies umso weniger, als es sich bei ihnen, wie erwähnt, nicht um Persönlichkeiten handelt, die aufgrund ihrer besonders exponierten Stellung auch bei einer Flucht ins nahe Ausland befürchten müssten, weiterhin verfolgt zu werden.</w:t>
      </w:r>
    </w:p>
    <w:p>
      <w:r>
        <w:rPr>
          <w:b/>
        </w:rPr>
        <w:t>E. 6.3</w:t>
      </w:r>
    </w:p>
    <w:p>
      <w:r>
        <w:t>Schliesslich bleibt festzuhalten, dass die Beschwerdeführenden weder in ih­rem Gesuch noch in der Beschwerde irgendeine persönliche Beziehung zur Schweiz gel­tend gemacht haben.</w:t>
      </w:r>
    </w:p>
    <w:p>
      <w:r>
        <w:rPr>
          <w:b/>
        </w:rPr>
        <w:t>E. 6.4</w:t>
      </w:r>
    </w:p>
    <w:p>
      <w:r>
        <w:t>Vor diesem Hintergrund erweist sich eine Schutzgewährung seitens der Schweizer Behörden als nicht erforderlich. Unter diesen Umständen hat die Vorinstanz zu Recht die Erteilung der Einreisebewilligung verweigert und die Asylgesuche der Beschwerde­füh­renden abgewiesen.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wären die Kosten grundsätzlich den Beschwerdeführenden aufzuerlegen (Art. 63 Abs. 1 VwVG). Aus verwal­tungsökonomischen Gründen ist in Anwendung von Art. 63 Abs. 1 in fine VwVG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