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E-319/2023 vom 24. Januar 2023</w:t>
      </w:r>
    </w:p>
    <w:p>
      <w:r>
        <w:t>Bundesverwaltungsgericht, 2023-01-24, DE</w:t>
      </w:r>
    </w:p>
    <w:p>
      <w:r>
        <w:rPr>
          <w:b/>
        </w:rPr>
        <w:t xml:space="preserve">Quelle: </w:t>
      </w:r>
      <w:r>
        <w:t>https://mcp.opencaselaw.ch/entscheid/bvger_E-319_2023</w:t>
      </w:r>
    </w:p>
    <w:p>
      <w:r>
        <w:t>FR: TAF E-319/2023 du 24 janvier 2023</w:t>
      </w:r>
    </w:p>
    <w:p>
      <w:r>
        <w:t>IT: TAF E-319/2023 del 24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Die Änderung des Geburtsdatums im ZEMIS (Dispositivziffer 6 der vor-instanzlichen Verfügung) wurde vom Beschwerdeführer nicht angefochten und ist somit nicht Gegenstand des vorliegenden Verfahrens.</w:t>
      </w:r>
    </w:p>
    <w:p>
      <w:r>
        <w:rPr>
          <w:b/>
        </w:rPr>
        <w:t>E. 1.3</w:t>
      </w:r>
    </w:p>
    <w:p>
      <w:r>
        <w:t>Das Verfahren richtet sich nach dem VwVG, dem VGG und dem BGG, soweit das AsylG nichts anderes bestimmt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wie dem vorliegenden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Vorliegend ist den Akten zu entnehmen, dass der Beschwerdeführer am 7. Oktober 2022 in Österreich als Asylsuchender registriert worden ist. Das SEM ersuchte deshalb die österreichischen Behörden am 12. Dezember 2022 um Wiederaufnahme des Beschwerdeführers gestützt auf Art. 18 Abs. 1 Bst. b Dublin-III-VO. Die österreichischen Behörden lehnten das Ersuchen am 22. Dezember 2022 ab und fragten bei den schweizerischen Behörden nach, ob in der Schweiz eine Altersabklärung durchgeführt worden beziehungsweise die Volljährigkeit des Beschwerdeführers zweifelsfrei belegt sei. Die Vorinstanz lies in der Folge ein Altersgutachten erstellen und legte dieses, gemeinsam mit dem Protokoll der Erstbefragung, ihrer Remonstration vom 3. Januar 2023 bei. Nachdem die österreichischen Behörden dieser am 4. Januar 2023, das heisst innert der in Art. 25 Abs. 1 Dublin-III-VO festgelegten Frist, zugestimmt haben, ist die Zuständigkeit Österreichs zur Durchführung des Asylverfahrens grundsätzlich gegeben.</w:t>
      </w:r>
    </w:p>
    <w:p>
      <w:r>
        <w:rPr>
          <w:b/>
        </w:rPr>
        <w:t>E. 5.2.1</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5.2.2</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 Entscheidungen und Mitteilungen der Schweizerischen Asylrekurskommission [EMARK] 2004 Nr. 30 E. 5.3.3). Im Rahmen einer Gesamtwürdigung ist eine Abwägung aller Anhaltspunkte vorzunehmen, die für oder gegen die Richtigkeit der betreffenden Altersangabe sprechen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5.2.3</w:t>
      </w:r>
    </w:p>
    <w:p>
      <w:r>
        <w:t>Am 27. Dezember 2022 wurde beim Beschwerdeführer ein Altersgutachten angefertigt, bei welchem das Alter aufgrund nicht-klassifizierbarer Formvarianten der (...)wachstumsfugen im CT nur eingeschränkt beurteilt werden konnte. Es kann jedoch aufgrund der insgesamt klaren Aktenlage vorliegend offengelassen werden, welchen Beweiswert dem Altersgutachten gemäss dem Grundsatzurteil des Bundesverwaltungsgerichts BVGE 2018 VI/3 zukommt. Wie vom SEM in der angefochtenen Verfügung zutreffend festgehalten wurde, sind nämlich die Angaben des Beschwerdeführers zu seinem Alter anlässlich der Erstbefragung widersprüchlich ausgefallen. Zur Vermeidung von Wiederholungen kann auf die zutreffenden Argumente in der angefochtenen Verfügung verwiesen werden, auf welche im Übrigen auf Beschwerdeebene nicht eingegangen wurde. Im Übrigen führte der Beschwerdeführer an der EB UMA aus, sein Bruder sei 2(...) oder 2(...) Jahre alt und vier oder fünf Jahre älter als er (vgl. SEM-act. 13/10 Ziffer 1.17.04). Dies ist mit demjenigen Geburtsdatum zu vereinbaren, welches bei seinem Grenzübertritt in die Schweiz registriert worden ist, nämlich dem (...) 2000 (vgl. SEM-act. 5/1). Die Erklärung des Beschwerdeführers, beim Grenzübertritt in die Schweiz sei er nicht nach seinem Alter gefragt, sondern es seien ihm lediglich die Fingerabdrücke abgenommen worden, stellt offensichtlich eine Schutzbehauptung dar. Zudem haben ihn auch die österreichischen Behörden offenbar als volljährig ([...] 2003) erfasst (vgl. angefochtene Verfügung Ziffer 6 und SEM-act. 26/2). Der Beschwerdeführer begründet seine behauptete Minderjährigkeit lediglich mit dem Verweis auf die verlorengegangene Tazkira (vgl. SEM-act. 13/10 Ziffer 1.06). Im Rahmen einer Gesamtwürdigung aller Umstände (vgl. BVGE 2009/54 E. 4.1; EMARK 2004 Nr. 30 E. 5.3.4 S. 210) kommt das Gericht in Übereinstimmung mit der Vorinstanz zum Schluss, dass es dem Beschwerdeführer nicht gelungen ist, die von ihm geltend gemachte Minderjährigkeit zum Zeitpunkt seiner Gesuchseinreichung in der Schweiz zumindest glaubhaft zu machen.</w:t>
      </w:r>
    </w:p>
    <w:p>
      <w:r>
        <w:rPr>
          <w:b/>
        </w:rPr>
        <w:t>E. 6.1</w:t>
      </w:r>
    </w:p>
    <w:p>
      <w:r>
        <w:t>Nach dem Gesagten geht das SEM zu Recht unter Anwendung von Art. 18 Abs. 1 Bst. b und Art. 25 Abs. 2 Dublin-III-VO von der Zuständigkeit Österreichs aus.</w:t>
      </w:r>
    </w:p>
    <w:p>
      <w:r>
        <w:rPr>
          <w:b/>
        </w:rPr>
        <w:t>E. 6.2</w:t>
      </w:r>
    </w:p>
    <w:p>
      <w:r>
        <w:t>Österreich kommt sodann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Österreich 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Systemische Mängel liegen in Österreich offenkundig nicht vor; eine Übernahme der Zuständigkeit zur Behandlung des Asylgesuchs durch die Schweiz in Anwendung von Art. 3 Abs. 2 Dublin-III-VO fällt somit nicht in Betracht.</w:t>
      </w:r>
    </w:p>
    <w:p>
      <w:r>
        <w:rPr>
          <w:b/>
        </w:rPr>
        <w:t>E. 7.1</w:t>
      </w:r>
    </w:p>
    <w:p>
      <w:r>
        <w:t>Es bleibt zu prüfen, ob die Vorinstanz trotz der grundsätzlichen Zuständigkeit Österreichs das Selbsteintrittsrecht nach Art. 17 Abs. 1 erster Satz Dublin-III-VO, konkretisiert in Art. 29a Abs. 3 AsylV 1, hätte ausüben müssen. Zwar kann die Vermutung, Österreich halte seine völkerrechtlichen Verpflichtungen nicht ein, im Einzelfall widerlegt werden. Dafür bedarf es aber konkreter und ernsthafter Hinweise, die gegebenenfalls vom Betroffenen glaubhaft darzutun sind (vgl. BVGE 2010/45 E. 7.4 f.).</w:t>
      </w:r>
    </w:p>
    <w:p>
      <w:r>
        <w:rPr>
          <w:b/>
        </w:rPr>
        <w:t>E. 7.2</w:t>
      </w:r>
    </w:p>
    <w:p>
      <w:r>
        <w:t>Der Beschwerdeführer konnte kein konkretes und ernsthaftes Risiko dartun, wonach seine Wegweisung nach Österreich die Verletzung völkerrechtlicher Bestimmungen zur Folge hätte. Auch aus medizinischer Sicht ist ein solches Risiko nicht erkennbar. Die in der EB UMA vorgebrachten medizinischen Probleme, namentlich (...), wurden weder durch Arztzeugnisse belegt noch auf Beschwerdeebene erneut vorgebracht. Die dargelegten Beschwerden würden sodann einer Überstellung nach Österreich offensichtlich auch nicht im Wege stehen. Es ist auch kein Ermessensmissbrauch des SEM hinsichtlich allfälliger humanitärer Gründe ersichtlich. Es besteht demnach kein Grund für die Anwendung von Art. 17 Dublin-III-VO. Somit bleibt Österreich der für die Behandlung des Asylgesuchs des Beschwerdeführers zuständige Mitgliedstaat gemäss der Dublin-III-VO.</w:t>
      </w:r>
    </w:p>
    <w:p>
      <w:r>
        <w:rPr>
          <w:b/>
        </w:rPr>
        <w:t>E. 8</w:t>
      </w:r>
    </w:p>
    <w:p>
      <w:r>
        <w:t>Der Beschwerdeführer bringt auf Rechtsmittelebene vor, er wolle nicht nach Österreich zurückkehren, da sein (...) und sein (...) (N [...]) in der Schweiz seien. Dabei handelt es sich nicht um Familienangehörige gemäss Art. 2 Bst. g Dublin-III-VO. Auch findet im Rahmen des Wiederaufnahmeverfahrens, wie an anderer Stelle bereits erwähnt, keine erneute Prüfung der Zuständigkeitskriterien statt. Sodann kann sich der Beschwerdeführer offensichtlich auch nicht auf ein Abhängigkeitsverhältnis gemäss Art. 16 Dublin-III-VO berufen, zumal ein solches von Vornherein nur zwischen dem Antragsteller und seinen Kindern, Geschwistern oder Elternteilen begründet werden kann und eine bereits im Herkunftsland bestandene familiäre Bindung voraussetzt.</w:t>
      </w:r>
    </w:p>
    <w:p>
      <w:r>
        <w:rPr>
          <w:b/>
        </w:rPr>
        <w:t>E. 9</w:t>
      </w:r>
    </w:p>
    <w:p>
      <w:r>
        <w:t>Das SEM ist demnach zu Recht in Anwendung von Art. 31a Abs. 1 Bst. b AsylG auf das Asylgesuch des Beschwerdeführers nicht eingetreten und hat in Anwendung von Art. 44 AsylG die Überstellung nach Österreich angeordnet. Die angefochtene Verfügung erweist sich als rechtmässig und die Beschwerde ist abzuweisen.</w:t>
      </w:r>
    </w:p>
    <w:p>
      <w:r>
        <w:rPr>
          <w:b/>
        </w:rPr>
        <w:t>E. 10.1</w:t>
      </w:r>
    </w:p>
    <w:p>
      <w:r>
        <w:t>Mit dem vorliegenden Urteil fällt der am 20. Januar 2023 angeordnete Vollzugsstopp dahin und die Gesuche um Erteilung der aufschiebenden Wirkung der Beschwerde und um Verzicht auf die Erhebung eines Kostenvorschusses sind gegenstandslos geworden.</w:t>
      </w:r>
    </w:p>
    <w:p>
      <w:r>
        <w:rPr>
          <w:b/>
        </w:rPr>
        <w:t>E. 10.2</w:t>
      </w:r>
    </w:p>
    <w:p>
      <w:r>
        <w:t>Das Gesuch um Gewährung der unentgeltlichen Prozessführung ist abzuweisen, da die Begehren - wie sich aus den vorstehenden Erwägungen ergibt - als aussichtslos zu bezeichnen sind, womit die kumulativen Voraussetzungen von Art. 65 Abs. 1 VwVG nicht erfüllt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