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E-319/2017 vom 19. Mai 2017</w:t>
      </w:r>
    </w:p>
    <w:p>
      <w:r>
        <w:t>Bundesverwaltungsgericht, 2017-05-19, DE</w:t>
      </w:r>
    </w:p>
    <w:p>
      <w:r>
        <w:rPr>
          <w:b/>
        </w:rPr>
        <w:t xml:space="preserve">Quelle: </w:t>
      </w:r>
      <w:r>
        <w:t>https://mcp.opencaselaw.ch/entscheid/bvger_E-319_2017</w:t>
      </w:r>
    </w:p>
    <w:p>
      <w:r>
        <w:t>FR: TAF E-319/2017 du 19 mai 2017</w:t>
      </w:r>
    </w:p>
    <w:p>
      <w:r>
        <w:t>IT: TAF E-319/2017 del 19 maggio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3.1</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3.2</w:t>
      </w:r>
    </w:p>
    <w:p>
      <w:r>
        <w:t>Dem Beschwerdeführer wurde mit Zwischenverfügung vom 20. Januar 2017 die unentgeltliche Prozessführung sowie Verbeiständung gewährt, die Beschwerde also nicht als aussichtslos qualifiziert. Dies steht einer Behandlung der vorliegenden Beschwerde im Verfahren nach Art. 111 Bst. e AsylG indes nicht entgegen (vgl. dazu ausführlich Urteil des BVGer E-4923/2016 vom 9. Februar 2017, E. 2.2).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(Art. 7 AsylG).</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Art. 7 AsylG; vgl. zum Ganzen auch BVGE 2009/29 E. 5.1; BVGE 2009/28 E. 7.1).</w:t>
      </w:r>
    </w:p>
    <w:p>
      <w:r>
        <w:rPr>
          <w:b/>
        </w:rPr>
        <w:t>E. 5.1</w:t>
      </w:r>
    </w:p>
    <w:p>
      <w:r>
        <w:t>Die Vorinstanz kommt in der angefochtenen Verfügung zum Schluss, die Vorbringen des Beschwerdeführers hielten den Anforderungen an die Flüchtlingseigenschaft gemäss Art. 3 AsylG nicht stand. Als unbegleiteter Minderjähriger sei ihm eine Vertrauensperson zugeordnet worden, welche ihn entsprechend im Verfahren begleitet habe. Weder sie, noch die bei der Anhörung anwesende Hilfswerksvertretung hätten Zweifel an der Urteilsfähigkeit des Beschwerdeführers gehabt. Die geltend gemachte familiäre Situation, die unzureichende medizinische Versorgung, von welcher die Mutter betroffen sei sowie die langen militärisch bedingten Abwesenheiten des Vaters würden auf die allgemeine politische und wirtschaftliche Situation im Heimatstaat zurückgehen und stellten keine asylbeachtliche Verfolgung im Sinne von Art. 3 AsylG dar. Ferner stelle die dreitägige Inhaftierung nach dem ersten Ausreiseversuch keine derart intensive Massnahme dar, die ihm einen weiteren Verbleib in Eritrea verunmöglicht hätte. Die Freilassung sei bedingungslos erfolgt und er habe keine daran anschliessenden Nachteile genannt, weshalb dieses Vorbringen nicht asylrelevant sei.</w:t>
      </w:r>
    </w:p>
    <w:p>
      <w:r>
        <w:rPr>
          <w:b/>
        </w:rPr>
        <w:t>E. 5.2</w:t>
      </w:r>
    </w:p>
    <w:p>
      <w:r>
        <w:t>Aufgrund einer neuen Lagebeurteilung sei sodann davon auszugehen, dass der Nationaldienst-Status das wichtigste Kriterium für den Umgang der eritreischen Behörden mit zwangsweisen Rückkehrern darstelle. Die illegale Ausreise spiele dabei nur eine untergeordnete Rolle. Den Akten sei zu entnehmen, dass er weder den Nationaldienst verweigert habe noch daraus desertiert sei. Da er somit nicht gegen die Proclamation on National Service von 1995 verstossen habe und auch sonst nichts vorliege, wonach er bei einer Rückkehr nach Eritrea ernsthafte Nachteile zu gewärtigen hätte, seien die Anforderungen an die Feststellung einer begründeten Furcht vor zukünftiger Verfolgung nicht erfüllt.</w:t>
      </w:r>
    </w:p>
    <w:p>
      <w:r>
        <w:rPr>
          <w:b/>
        </w:rPr>
        <w:t>E. 6.1</w:t>
      </w:r>
    </w:p>
    <w:p>
      <w:r>
        <w:t>In der Rechtsmitteleingabe rügt der Beschwerdeführer, die Vorinstanz habe ihn zu Unrecht nicht als Flüchtling anerkannt und damit Bundesrecht verletzt. Der vorinstanzliche Schluss ist indes nicht zu beanstanden. In der angefochtenen Verfügung wird nachvollziehbar dargelegt, aus welchen Gründen der Beschwerdeführer die Voraussetzungen zur Anerkennung als Flüchtling nicht erfüllt. Was in der Rechtsmitteleingabe dagegen vorgebracht wird, ist nicht geeignet, die vorinstanzlichen Erwägungen in einem andern Lichte erscheinen zu lassen. Soweit der Beschwerdeführer vorbringt, als Minderjähriger bedürfe er eines erhöhten Schutzes, wurde diesem Umstand im vorliegenden Verfahren hinreichend Rechnung getragen, indem ihm eine Vertrauensperson beigeordnet und der Vollzug der Wegweisung als nicht zumutbar erachtet wurden. Weitergehend substantiiert der Beschwerdeführer dieses Vorbringen nicht ansatzweise. Sodann vermag er mit dem blossen Wiederholen des aktenkundigen Sachverhalts und dem Festhalten, er erfülle die Voraussetzungen von Art. 3 AsylG, nicht darzutun, inwiefern ihn die Vorinstanz zu Unrecht nicht als Flüchtling anerkannt hat.</w:t>
      </w:r>
    </w:p>
    <w:p>
      <w:r>
        <w:rPr>
          <w:b/>
        </w:rPr>
        <w:t>E. 6.2</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(als Referenzurteil publiziert)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da es sich dabei nicht um Massnahmen handle, die aus asylrechtlich relevanten Motiven erfolgten. Für die Begründung der Flüchtlingseigenschaft im eritreischen Kontext bedürfe es neben der illegalen Ausreise zusätzlicher Anknüpfungspunkte, welche zu einer Verschärfung des Profils und dadurch zu einer flüchtlingsrechtlich relevanten Verfolgungsgefahr führen könnten (vgl. angeführtes Referenzurteil E. 5.2). Beim Beschwerdeführer liegen keine zusätzlichen Anknüpfungspunkte vor, welche zu einer Schärfung seines Profils führen. Zum Zeitpunkt der Ausreise war er noch minderjährig und wurde gemäss eigenen Aussagen noch nicht zum Militärdienst aufgeboten. Er weist damit keine Anknüpfungspunkte auf, die ihn in den Augen des eritreischen Regimes als missliebige Person erscheinen liessen, weshalb vorliegend nicht von einer asylrechtlich beachtlichen Verfolgung auszugehen ist.</w:t>
      </w:r>
    </w:p>
    <w:p>
      <w:r>
        <w:rPr>
          <w:b/>
        </w:rPr>
        <w:t>E. 6.3</w:t>
      </w:r>
    </w:p>
    <w:p>
      <w:r>
        <w:t>Dem Beschwerdeführer ist es somit nicht gelungen, asylrelevante Fluchtgründe nachzuweisen oder glaubhaft zu machen. Die Vorinstanz hat das Asylgesuch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BVGE 2013/37 E. 4.4). Die Wegweisung ist demnach nicht zu beanstanden.</w:t>
      </w:r>
    </w:p>
    <w:p>
      <w:r>
        <w:rPr>
          <w:b/>
        </w:rPr>
        <w:t>E. 8</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Mit Zwischenverfügung vom 20. Januar 2017 wurde das Gesuch um Gewährung der unentgeltlichen Prozessführung gutgeheissen, weshalb keine Kosten aufzuerlegen sind.</w:t>
      </w:r>
    </w:p>
    <w:p>
      <w:r>
        <w:rPr>
          <w:b/>
        </w:rPr>
        <w:t>E. 10.2</w:t>
      </w:r>
    </w:p>
    <w:p>
      <w:r>
        <w:t>Rechtsanwältin Linda Keller wurde vom Gericht am 20. Januar 2017 als unentgeltliche Rechtsbeiständin des Beschwerdeführers bestellt. Ihr ist eine Entschädigung zu Lasten des Gerichts auszurichten (Art. 65 Abs. 5 VwVG und Art. 12 i.V.m. Art. 8 ff. des Reglements vom 21. Februar 2008 über die Kosten und Entschädigungen vor dem Bundesverwaltungsgericht [VGKE, SR 173.320.2]). Sie hat keine Kostennote zu den Akten gereicht. Auf eine Nachforderung kann verzichtet werden, da sich die Vertretungskosten aufgrund der Akten zuverlässig abschätzen lassen (Art. 14 Abs. 2 VGKE). Der amtlichen Rechtsbeiständin ist durch das Bundesverwaltungsgericht ein amtliches Honorar gestützt auf die in Betracht zu ziehenden Bemessungsfaktoren (Art. 9-13 VGKE) in der Höhe von Fr. 600.-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