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E-3188/2015 vom 30. März 2017</w:t>
      </w:r>
    </w:p>
    <w:p>
      <w:r>
        <w:t>Bundesverwaltungsgericht, 2017-03-30, DE</w:t>
      </w:r>
    </w:p>
    <w:p>
      <w:r>
        <w:rPr>
          <w:b/>
        </w:rPr>
        <w:t xml:space="preserve">Quelle: </w:t>
      </w:r>
      <w:r>
        <w:t>https://mcp.opencaselaw.ch/entscheid/bvger_E-3188_2015</w:t>
      </w:r>
    </w:p>
    <w:p>
      <w:r>
        <w:t>FR: TAF E-3188/2015 du 30 mars 2017</w:t>
      </w:r>
    </w:p>
    <w:p>
      <w:r>
        <w:t>IT: TAF E-3188/2015 del 30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Prüfungsgegenstand des vorliegenden Beschwerdeverfahrens bildet einzig die Frage, ob das SEM zu Recht das Asylgesuch der Beschwerdeführerin abgelehnt (Dispositivziffer 2 der angefochtenen Verfügung) und sie aus der Schweiz weggewiesen (Dispositivziffer 3 der angefochtenen Verfügung) hat.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der angefochtenen Verfügung an, gemäss konstanter schweizerischer Asylpraxis setze der Begriff der Flüchtlingseigenschaft einen in zeitlicher und sachlicher Hinsicht genügend engen Kausalzusammenhang zwischen Verfolgung und Flucht vor-aus. Vorliegend habe die Beschwerdeführerin erklärt, im (...) aus der Haft entlassen und anschliessend bis im (...) (recte: [...]) in D._______ geblieben zu sein. Nach ihrer Entlassung sei nichts mehr passiert, nicht einmal nachdem sie D._______ verlassen und nach (...) gegangen sei. Weder ihrer Familie noch ihrem Bürgen sei nach ihrer Ausreise etwas passiert. Da zwischen ihrer Freilassung und der Ausreise mehr als ein Jahr verstrichen sei und sie auch auf entsprechende Nachfragen keinerlei Probleme in dieser Zeit geltend gemacht habe, müsse davon ausgegangen werden, dass die von ihr erwähnte Haft nicht der Grund für ihre Ausreise gewesen sei. Folglich fehle der zeitliche Kausalzusammenhang zwischen Verfolgung und Flucht, womit es sich erübrige, auf die diversen Unglaubhaftigkeitselemente in den gesuchsbegründenden Aussagen einzugehen. Aus den Akten sei ersichtlich, dass die Beschwerdeführerin Eritrea im (...) illegal verlassen habe. Die eritreischen Behörden würden solchen Personen grundsätzlich eine regierungsfeindliche Haltung unterstellen und sie bei einer Rückkehr nach Eritrea sehr streng bestrafen, wobei sich die Strafmassnahmen durch ein hohes Mass an Brutalität auszeichnen würden. Damit habe die Beschwerdeführerin begründete Furcht, bei einer Rückkehr nach Eritrea ernsthaften Nachteilen im Sinne von Art. 3 AsylG ausgesetzt zu werden, womit sie die Flüchtlingseigenschaft erfülle. Flüchtlingen werde indessen gemäss Art. 54 AsylG kein Asyl gewährt, wenn sie erst durch ihres Ausreise aus dem Heimat- oder Herkunftsstaat oder wegen ihres Verhaltens nach der Ausreise Flüchtlinge würden. Vorliegend seien die flüchtlingsrelevanten Elemente erst mit der illegalen Ausreise entstanden, weshalb die Beschwerdeführerin zwar von der Asylgewährung auszuschliessen, aber als Flüchtling in der Schweiz vorläufig aufzunehmen sei. Weil sie die Flüchtlingseigenschaft erfülle, gelange der Grundsatz der Nichtrückschiebung zur Anwendung. Das SEM erachte deshalb den Vollzug der Wegweisung nach Eritrea im gegenwärtigen Zeitpunkt als nicht zulässig.</w:t>
      </w:r>
    </w:p>
    <w:p>
      <w:r>
        <w:rPr>
          <w:b/>
        </w:rPr>
        <w:t>E. 4.2</w:t>
      </w:r>
    </w:p>
    <w:p>
      <w:r>
        <w:t>In der Beschwerde wurde entgegnet, die Vorinstanz übersehe, dass die Beschwerdeführerin zusammen mit ihrem damals (...) eine Reflexverfolgung in Form einer (...) Haft erlitten habe. Sie sei in seiner Anwesenheit mit (...) geschlagen worden, und die damit zugefügte Wunde habe sich infiziert und sei unbehandelt geblieben. Im eingereichten Arztzeugnis werde bestätigt, dass eine (...) Jahre alte (...) bestehe. Hierzu sei ebenfalls anzumerken, dass die anwesende Hilfswerksvertretung auf dem Unterschriftenblatt vermerkt habe, die Beschwerdeführerin habe mehrmals (...), so beispielsweise bei der Schilderung der Haft und dass ihr Kind dabei gewesen sei, was jedoch nicht vollständig protokolliert worden sei, und dass diesbezügliche Ergänzungen im Protokoll nicht erlaubt worden seien. Die Beschwerdeführerin sei unter einem unerträglichen psychischen Druck gestanden und sie habe objektiv begründete Furcht vor einer zukünftigen Verfolgung. Diesbezüglich werde auf das Urteil des Bundesverwaltungsgerichts E-6392/2013 vom 23. Mai 2014 verwiesen. Die Aussagen der Beschwerdeführerin seien glaubhaft und es sei hinsichtlich des Verzichts der Vorinstanz, auf angeblich unglaubhafte Elemente in ihren Aussagen einzugehen, auf die Definition des Glaubhaftmachens durch das Amt des Hohen Flüchtlingskommissars der Vereinten Nationen (UNHCR) zu verweisen, die ebenfalls in der Rechtsprechung des Bundesverwaltungsgerichts bestätigt werde. Zusammenfassend sei festzuhalten, dass die Beschwerdeführerin durch die erlittene Haft, die Misshandlungen und die mit ihrer Freilassung verknüpfte Auflage, D._______ nicht zu verlassen, asylrelevante Verfolgung erlitten und auch weiterhin begründete Furcht vor zukünftiger Verfolgung habe. Sollte das Gericht nicht zu einem abschliessenden Entscheid in der Lage sein, werde beantragt, den Fall zwecks Vornahme weiterer Abklärungen an die Vorinstanz zurückzuweisen.</w:t>
      </w:r>
    </w:p>
    <w:p>
      <w:r>
        <w:rPr>
          <w:b/>
        </w:rPr>
        <w:t>E. 5</w:t>
      </w:r>
    </w:p>
    <w:p>
      <w:r>
        <w:t>Von einer begründeten Furcht - auch im Sinne einer Reflexverfolgung - ist erst dann auszugehen,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dabei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als jemand, der in der Vergangenheit keine entsprechenden Erfahrungen gemacht hat (vgl. Entscheidungen und Mitteilungen der [vormaligen] Schweizerischen Asylrekurskommission [EMARK] 1994 Nr. 24 E. 8b, EMARK 1993 Nr. 11 E. 4c). Die subjektive Furcht ist diesfalls bereits dann begründet, wenn sie zwar diejenige eines in der gleichen Situation befindlichen Durchschnittsmenschen übersteigt, aber trotzdem nachvollziehbar bleibt (vgl. EMARK 2004 Nr. 1 E. 6a S. 9, mit weiteren Hinweisen).</w:t>
      </w:r>
    </w:p>
    <w:p>
      <w:r>
        <w:rPr>
          <w:b/>
        </w:rPr>
        <w:t>E. 6.1</w:t>
      </w:r>
    </w:p>
    <w:p>
      <w:r>
        <w:t>Nach Prüfung der Akten gelangt das Bundesverwaltungsgericht zum Schluss, dass das SEM zu Recht eine begründete Furcht der Beschwerdeführerin vor einer zukünftigen weiteren Reflexverfolgung wegen ihres verschwundenen Ehemannes verneint hat. Vorab ist nicht zuletzt aufgrund der von der Vorinstanz bei der Anhörung aufgezeigten Widersprüche in den Aussagen, zu denen der Beschwerdeführerin das rechtliche Gehör gewährt wurde (Akten SEM A17/25 S. 22), festzuhalten, dass gewisse Zweifel an der Glaubhaftigkeit ihrer Vorbringen bestehen. Unbesehen davon ist auch bei Annahme, dass sich der geltend gemachte Sachverhalt tatsächlich so zugetragen hat, festzustellen, dass die Beschwerdeführerin nach ihrer Haftentlassung im (...) noch rund (...) Monate in Eritrea geblieben ist. Somit besteht zwischen dem von ihr geschilderten Ereignis (Inhaftierung von [...] bis [...]) und ihrer Ausreise im (...) weder in sachlicher noch in zeitlicher Hinsicht ein genügend enger Kausalzusammenhang. Die Antworten der Beschwerdeführerin auf die Fragen, was sie nach (...) in D._______ dazu bewogen habe, Eritrea zu verlassen respektive was für sie ausschlaggebend gewesen sei, dass sie sich nach (...) entschieden habe, wegzugehen, und nicht vorher und nicht später (A17/25 S. 16 Fragen 158 und 160), erweisen sich als wenig überzeugend und vermögen nicht wirklich zu erklären, was sie dazu veranlasst haben könnte, D._______ ausgerechnet zu diesem Zeitpunkt zu verlassen. Die Beschwerdeführerin machte für den Zeitraum zwischen ihrer Haftentlassung und der Ausreise keine weiteren Nachstellungen seitens der eritreischen Behörden geltend und sie antwortete zudem auf die Frage, ob ihre Ausreise aus Eritrea Konsequenzen für jemanden gehabt habe, nein, sie sei nicht mehr bei ihrer Familie und verheiratet gewesen, deshalb sei sie nicht zur Verantwortung gezogen worden (A17/25 S. 20 Frage 209). Zudem bejahte sie die Anschlussfrage, ob das heisse, dass niemand in Eritrea Probleme gehabt habe, weil sie das Land verlassen habe, und führte auf die Frage, ob ihrem (...), der für sie gebürgt habe, etwas passiert sei, an, bis jetzt hätten sie ihm nichts gemacht (A17/25 S. 20 Fragen 210 und 211). Die Furcht der Beschwerdeführerin, wegen des Verschwindens ihres Ehemannes einer erneuten Reflexverfolgung ausgesetzt zu werden, erweist sich angesichts dieser Sachlage als in objektiver Hinsicht unbegründet.</w:t>
      </w:r>
    </w:p>
    <w:p>
      <w:r>
        <w:rPr>
          <w:b/>
        </w:rPr>
        <w:t>E. 6.2</w:t>
      </w:r>
    </w:p>
    <w:p>
      <w:r>
        <w:t>Die Vorbringen auf Beschwerdeebene sind mangels Stichhaltigkeit nicht geeignet, zu einer anderen Beurteilung zu gelangen. Insbesondere gelingt es der Beschwerdeführerin mit dem zu den Akten gereichten Arztzeugnis betreffend (...) nicht, eine objektiv begründete Furcht vor weiterer Reflexverfolgung darzutun. Zudem erweist sich die Rüge mit Verweis auf die Bemerkung der Hilfswerkvertretung bei der Anhörung, der Umstand, dass die Beschwerdeführerin mehrmals (...) habe, sei nicht vollständig protokolliert worden und diesbezügliche Ergänzungen im Protokoll seien nicht erlaubt worden, nach einer Durchsicht des Protokolls als unbegründet, zumal sich keine Hinweise darauf entnehmen lassen, die Beschwerdeführerin oder die Hilfswerkvertretung könnten daran gehindert worden sein, entsprechende Ergänzungen oder Korrekturen beim Protokoll zu veranlassen. Die Beschwerdeführerin verlangte vielmehr am Ende der Anhörung während der Rückübersetzung eine Richtigstellung zu den Fragen 27, 39, 40 und 162, was entsprechend protokolliert wurde. Zudem bestätigte die Beschwerdeführerin unterschriftlich, dass ihr das Protokoll Satz für Satz vorgelesen und in eine ihr verständliche Sprache übersetzt worden sei. Des Weiteren bestätigte sie, dass das Protokoll vollständig sei und ihren freien Äusserungen entspreche. Der Verweis auf das Urteil E-6392/2013 vom 23. Mai 2014 ist zwar insofern gerechtfertigt, als die Beschwerdeführerin aufgrund des Erlebten objektive Gründe für eine ausgeprägtere (subjektive) Furcht vor Verfolgung hat. Gleichzeitig ist indessen auch in Würdigung ihrer gesuchsbegründenden Aussagen festzustellen, dass es ihr aufgrund des fehlenden zeitlichen und sachlichen Kausalzusammenhangs zwischen der Inhaftierung und ihrer Ausreise nicht gelingt, Vorfluchtgründe darzutun. Schliesslich ist festzuhalten, dass sich eine Auseinandersetzung mit den zitierten Ausführungen des UNHCR zum Glaubhaftmachen der Flüchtlingseigenschaft im Sinne von Vorfluchtgründen erübrigt, weil vorliegend sowohl das SEM als auch das Bundesverwaltungsgericht davon ausgehen, die Glaubhaftigkeit der gesuchsbegründenden Aussagen der Beschwerdeführerin könne offenbleiben.</w:t>
      </w:r>
    </w:p>
    <w:p>
      <w:r>
        <w:rPr>
          <w:b/>
        </w:rPr>
        <w:t>E. 6.3</w:t>
      </w:r>
    </w:p>
    <w:p>
      <w:r>
        <w:t>Zusammenfassend folgt, dass es der Beschwerdeführerin mangels genügend engen Kausalzusammenhangs zwischen der Inhaftierung und ihrer Ausreise aus Eritrea in zeitlicher und sachlicher Hinsicht nicht gelungen ist, Vorfluchtgründe im Sinne von Art. 3 AsylG darzutun, weshalb das SEM ihr Asylgesuch zu Recht gestützt auf Art. 54 AsylG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15. April 2015 die vorläufige Aufnahme der Beschwerdeführerin und ihrer Kinder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der unter-liegenden Beschwerdeführerin aufzuerlegen (Art. 63 Abs. 1 VwVG). Weil indessen der Antrag auf Bewilligung der unentgeltlichen Rechtspflege im Sinne von Art. 65 Abs. 1 VwVG mit Zwischenverfügung vom 26. Juni 2015 gutgeheissen wurde und sich zudem aus den Akten keine Hinweise auf eine nachträgliche Veränderung in den finanziellen Verhältnissen der Beschwerdeführerin ergeben, sind keine Verfahrenskosten zu erheben.</w:t>
      </w:r>
    </w:p>
    <w:p>
      <w:r>
        <w:rPr>
          <w:b/>
        </w:rPr>
        <w:t>E. 10.2</w:t>
      </w:r>
    </w:p>
    <w:p>
      <w:r>
        <w:t>Da der Beschwerdeführerin mit Zwischenverfügung vom 26. Juni 2015 die amtliche Rechtsverbeiständung gewährt wurde, sind die ihr notwendigerweise erwachsenen Parteikosten durch das Bundesverwaltungsgericht zu übernehmen (vgl. Art. 110a Abs. 1 AsylG i.V.m. Art. 9-14 des Reglements vom 21. Februar 2008 über die Kosten und Entschädigungen vor dem Bundesverwaltungsgericht [VGKE, SR 173.320.2]). Auf das Einholen einer Kostennote kann verzichtet werden, da sich der notwendige Vertretungsaufwand hinreichend zuverlässig abschätzen lässt. Gestützt auf die in Betracht zu ziehenden Bemessungsfaktoren (Art. 9-14 VGKE) ist das amtliche Honorar der Rechtsbeiständin auf insgesamt Fr. (...)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