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E-3182/2015 vom 2. Juni 2015</w:t>
      </w:r>
    </w:p>
    <w:p>
      <w:r>
        <w:t>Bundesverwaltungsgericht, 2015-06-02, DE</w:t>
      </w:r>
    </w:p>
    <w:p>
      <w:r>
        <w:rPr>
          <w:b/>
        </w:rPr>
        <w:t xml:space="preserve">Quelle: </w:t>
      </w:r>
      <w:r>
        <w:t>https://mcp.opencaselaw.ch/entscheid/bvger_E-3182_2015</w:t>
      </w:r>
    </w:p>
    <w:p>
      <w:r>
        <w:t>FR: TAF E-3182/2015 du 2 juin 2015</w:t>
      </w:r>
    </w:p>
    <w:p>
      <w:r>
        <w:t>IT: TAF E-3182/2015 del 2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3.2</w:t>
      </w:r>
    </w:p>
    <w:p>
      <w:r>
        <w:t>Die Vorinstanz hat den Massstab des Glaubhaftmachens nicht verkannt und auf den vorliegenden Fall korrekt angewendet. Die Beschwerdeführerin setzt sich mit der vorinstanzlichen Beweiswürdigung nicht auseinander und zeigt nicht auf, inwiefern sie Bundesrecht verletzen oder zu einer rechtsfehlerhaften Sachverhaltsfeststellung führen soll. Solches ist auch nicht ersichtlich. So trifft zu, dass die Beschwerdeführerin nur drei Dorfnamen kennt, die sie auf verschiedene Fragen hin immer wieder aufzählt, die jedoch tatsächlich nicht auf einer nachvollziehbaren Route nach Purang liegen. Sodann mangelt es offensichtlich an Alltagswissen. So ist es beispielsweise realitätsfremd, dass die ausschliessliche Freizeitbeschäftigung in einem tibetischen Dorf aus rezitieren von Gebeten und der Arbeit im Feld besteht. Ferner ist es nicht möglich, dass jemand, der 20 Jahre in China lebt, kein Chinesisch kann und ausser zu zwei Onkeln keine sozialen Kontakte nach aussen pflegt, ist doch gerade das Leben in einem kleineren tibetischen Dorf auf sozialen Kontakten aufgebaut. Schliesslich gelingt es der Beschwerdeführerin nicht - neben vielen anderen Elementen der offensichtlichen Unglaubhaftigkeit - Angaben zum Verkauf der Ernte zu machen, obwohl letzterer die Basis der familiären Tätigkeit darstellt und deren Lebensunterhalt sichert. Überzeugend kommt die Vorinstanz deshalb zum Schluss, eine Person, die über ihre Heimat, in der sie 20 Jahre gelebt haben will, nicht Bescheid weiss, kein Chinesisch kann, keine Identitätsdokumente abgibt und den Verbleib dieser und die Reise nur unglaubhaft schildern kann, könne nicht aus dem vorgegebenen Dorf in Tibet stammen. In der angefochtenen Verfügung wird ausführlich dargelegt, aus welchen Gründen davon auszugehen ist, dass die Beschwerdeführerin nicht in der von ihr angegebenen Region sozialisiert worden ist. Hierauf basierend ist den Asylvorbringen die Grundlage entzogen und es erklärt sich, weshalb diese - wie ebenfalls von der Vorinstanz richtig erkannt - offensichtlich unglaubhaft sind. Um Wiederholungen zu vermeiden, kann auf die vorinstanzlichen Ausführungen verwiesen werden.</w:t>
      </w:r>
    </w:p>
    <w:p>
      <w:r>
        <w:rPr>
          <w:b/>
        </w:rPr>
        <w:t>E. 3.3</w:t>
      </w:r>
    </w:p>
    <w:p>
      <w:r>
        <w:t>Das Verhalten der Beschwerdeführerin stellt eine Verletzung der ihr obliegenden Mitwirkungspflicht dar (Art. 8 AsylG, vgl. BVGE 2014/12). Sie legt weder ihre Identität noch ihre Staatsangehörigkeit offen und verschleiert selbst den Reiseweg - beispielsweise erinnert sie sich nicht an wichtige, prägnante Details ihrer Reise oder an den Namen der Stadt, in der sie drei Monate auf der Durchreise verbracht hat. Auf die Frage, weshalb sie kein heimatliches Identitätsdokument auf sich trägt, gibt sie zur Antwort: "Ich musste sehr in Eile zur Flucht aufbrechen und konnte es deshalb nicht mitnehmen" (SEM-Akte, A 9, S. 4). Die Antwort ist realitätsfremd. Durch die Verletzung der Mitwirkungspflicht verunmöglicht die Beschwerdeführerin die Abklärung, welchen Status sie im Staat ihres vormaligen Aufenthalts hatte. Die Folgen dieses Verhaltens hat sie selber zu verantworten. Insoweit ist auch bei Personen tibetischer Ethnie, die ihre wahre Herkunft verschleiern oder verheimlichen, vermutungsweise davon auszugehen, dass keine flüchtlings- oder wegweisungsbeachtlichen Gründe gegen eine Rückkehr an ihren bisherigen Aufenthaltsort bestehen (vgl. BVGE 2014/12 E. 5.10 und E. 6.).</w:t>
      </w:r>
    </w:p>
    <w:p>
      <w:r>
        <w:rPr>
          <w:b/>
        </w:rPr>
        <w:t>E. 3.4</w:t>
      </w:r>
    </w:p>
    <w:p>
      <w:r>
        <w:t>Insgesamt hat die Beschwerdeführerin somit nichts vorgebracht, das geeignet wäre, einen Fluchtgrund in Bezug auf die Volksrepublik China nachzuweisen oder zumindest glaubhaft zu machen. Daher besteht keine Veranlassung, ein Sprach- und Ländergutachten in Auftrag zu geben. Der entsprechende Antrag ist abzuweisen. Die Vorinstanz hat das Asylgesuch zu Recht abgelehnt.</w:t>
      </w:r>
    </w:p>
    <w:p>
      <w:r>
        <w:rPr>
          <w:b/>
        </w:rPr>
        <w:t>E. 4</w:t>
      </w:r>
    </w:p>
    <w:p>
      <w:r>
        <w:t>Gemäss Art. 44 AsylG verfügt das SEM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2013/37 E 4.4, 2009/50 E. 9). Die Wegweisung ist nicht zu beanstanden.</w:t>
      </w:r>
    </w:p>
    <w:p>
      <w:r>
        <w:rPr>
          <w:b/>
        </w:rPr>
        <w:t>E. 5.1</w:t>
      </w:r>
    </w:p>
    <w:p>
      <w:r>
        <w:t>Ist der Vollzug der Wegweisung nicht zulässig, nicht zumutbar oder nicht möglich, so regelt das SEM das Anwesenheitsverhältnis nach den gesetzlichen Bestimmungen über die vorläufige Aufnahme (Art. 44 AsylG; Art. 83 Abs. 1 AuG).</w:t>
      </w:r>
    </w:p>
    <w:p>
      <w:r>
        <w:rPr>
          <w:b/>
        </w:rPr>
        <w:t>E. 5.2</w:t>
      </w:r>
    </w:p>
    <w:p>
      <w:r>
        <w:t>Die Beschwerdeführerin hat durch die Verheimlichung respektive Verschleierung ihrer wahren Herkunft die ihr obliegende Mitwirkungspflicht verletzt. Sie hat die Folgen ihrer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(statt vieler: Urteil des BVGer E-2450/2014 vom 22. Mai 2014). Ein Vollzug der Wegweisung in die Volksrepublik China ist im vorinstanzlichen Entscheid ausdrücklich ausgeschlossen worden (Ziff. 5 des Dispositivs der angefochtenen Verfügung).</w:t>
      </w:r>
    </w:p>
    <w:p>
      <w:r>
        <w:rPr>
          <w:b/>
        </w:rPr>
        <w:t>E. 5.3</w:t>
      </w:r>
    </w:p>
    <w:p>
      <w:r>
        <w:t>Es obliegt der Beschwerdeführerin, sich die für eine Rückkehr allenfalls benötigten Reisedokumente bei der Vertretung ihres Heimatlandes zu beschaffen (Art. 8 Abs. 4 AsylG; BVGE 2008/34 E. 12), weshalb der Vollzug auch als möglich zu bezeichnen ist. Damit fällt die Anordnung einer vorläufigen Aufnahme ausser Betracht (Art. 83 Abs. 1-4 AuG).</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Beschwerdeführerin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Beschwerdeurteil ist der Antrag auf Verzicht eines Kostenvorschusses gegenstandslos geworden. Das Gesuch um Beschwerdeergänzung ist abzuweisen, da kein aussergewöhnlicher Umfang oder besondere Schwierigkeiten im vorliegenden Fall ersichtlich sind (Art. 53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