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E-3180/2019 vom 28. Juni 2019</w:t>
      </w:r>
    </w:p>
    <w:p>
      <w:r>
        <w:t>Bundesverwaltungsgericht, 2019-06-28, DE</w:t>
      </w:r>
    </w:p>
    <w:p>
      <w:r>
        <w:rPr>
          <w:b/>
        </w:rPr>
        <w:t xml:space="preserve">Quelle: </w:t>
      </w:r>
      <w:r>
        <w:t>https://mcp.opencaselaw.ch/entscheid/bvger_E-3180_2019</w:t>
      </w:r>
    </w:p>
    <w:p>
      <w:r>
        <w:t>FR: TAF E-3180/2019 du 28 juin 2019</w:t>
      </w:r>
    </w:p>
    <w:p>
      <w:r>
        <w:t>IT: TAF E-3180/2019 del 28 giugno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Beschwerdeführerin ist als Verfügungsadressatin zur Beschwerdeführung legitimiert (Art. 48 Abs. 1 VwVG). Auf die frist- und formgerecht eingereichte Beschwerde ist einzutreten (Art. 108 Abs. 3 AsylG und Art. 52 Abs. 1 VwVG).</w:t>
      </w:r>
    </w:p>
    <w:p>
      <w:r>
        <w:rPr>
          <w:b/>
        </w:rPr>
        <w:t>E. 2</w:t>
      </w:r>
    </w:p>
    <w:p>
      <w:r>
        <w:t>Soweit in der Rechtsmitteleingabe die Feststellung der aufschiebenden Wirkung der Beschwerde beantragt wird, ist festzuhalten, dass dieser von Gesetzes wegen aufschiebende Wirkung zukommt (vgl. Art. 6 AsylG i.V.m. Art. 55 Abs. 1 VwVG) und die Vorinstanz diese vorliegend nicht entzogen hat, weshalb - in Ermangelung eines Rechtsschutzinteresses - auf den Antrag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gelangt in der angefochtenen Verfügung zum Schluss, die Vorbringen der Beschwerdeführerin hielten den Anforderungen an die Flüchtlingseigenschaft gemäss Art. 3 AsylG nicht stand. Zur Begründung führte sie aus, die von der Beschwerdeführerin dargelegten Vorfälle mit ihrem Schwager beziehungsweise dem Halbonkel ihres Mannes stellten lediglich Übergriffe privater Drittpersonen dar. Diese würden vom kosovarischen Staat weder unterstützt noch gebilligt. Ferner habe die Beschwerdeführerin bis heute weder eine Strafanzeige gegen die beiden Personen erhoben noch bei der Polizei oder Dritten um Hilfe ersucht. Die hierzu vorgetragene Mutmassung, der Schwager habe möglicherweise Beziehungen zur Polizei erweise sich als pauschal und sei nicht geeignet die Schutzfähigkeit und -willigkeit der kosovarischen Behörden in Zweifel zu ziehen. Aus den Sachverhaltsschilderungen der Beschwerdeführerin könne insgesamt weder ein unerträglicher psychischer Druck noch eine asylrelevante Intensität entnommen werden. Im Übrigen seien die behaupten Probleme mit dem Schwager und dem Halbonkel ihres Mannes auch keinem der in Art. 3 AsylG aufgeführten Verfolgungsmotiven zuzuordnen. Auch das Vorbringen, die Lebensbedingungen im Kosovo seien schwierig, stelle keinen asylbeachtlichen Grund im Sinne von Art. 3 AsylG dar.</w:t>
      </w:r>
    </w:p>
    <w:p>
      <w:r>
        <w:rPr>
          <w:b/>
        </w:rPr>
        <w:t>E. 6.2</w:t>
      </w:r>
    </w:p>
    <w:p>
      <w:r>
        <w:t>Die Beschwerdeführerin brachte in ihrer Rechtsmitteleingabe hiergegen vor, sie sei in ihrem Heimatland an Leib und Leben gefährdet. Da die Beschwerdeführerin mit dem Kindsvater nicht verheiratet gewesen sei, befürchte sie nun, man würde sie töten oder ihr die Kinder wegnehmen. Ferner habe sich ihr Gesundheitszustand stressbedingt verschlechtert.</w:t>
      </w:r>
    </w:p>
    <w:p>
      <w:r>
        <w:rPr>
          <w:b/>
        </w:rPr>
        <w:t>E. 7.1</w:t>
      </w:r>
    </w:p>
    <w:p>
      <w:r>
        <w:t>Das Bundesverwaltungsgericht gelangt nach Prüfung der Akten zum Schluss, dass die Vorinstanz das Asylgesuch der Beschwerdeführerin zu Recht abgelehnt hat. In ihrem Entscheid hat sie zutreffend die Gründe aufgeführt, die auf die fehlende Asylrelevanz der Vorbringen schliessen lassen. Die Ausführungen in der Beschwerdeschrift vermögen an dieser Sichtweise nichts zu ändern. Wie von der Vorinstanz zutreffend festgehalten, hat der Bundesrat den Kosovo als verfolgungssicheren Staat im Sinne von Art. 6a Abs. 2 Bst. a AsylG bezeichnet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diese Regelvermutung im Einzelfall aufgrund konkreter und substantiierter Hinweise umgestossen werden kann. Im vorliegenden Fall sind den Akten keine Hinweise zu entnehmen, welche die oben genannte Regelvermutung umzustossen vermöchten. Ergänzend ist in Bezug auf den gewährleisteten behördlichen Schutz vor einer nichtstaatlichen Verfolgung zu bemerken, dass die Beschwerdeführerin es bis dato auch unterlassen hat, die Hilfe der Polizei, der Strafverfolgungsbehörden oder anderer Behörden in Anspruch zu nehmen beziehungsweise diese überhaupt zu kontaktieren.</w:t>
      </w:r>
    </w:p>
    <w:p>
      <w:r>
        <w:rPr>
          <w:b/>
        </w:rPr>
        <w:t>E. 7.2</w:t>
      </w:r>
    </w:p>
    <w:p>
      <w:r>
        <w:t>Zusammenfassend ist festzuhalten, dass es der Beschwerdeführerin nicht gelungen ist, eine bestehende oder drohende, asylrechtlich relevante Gefährdung nachzuweisen oder glaubhaft zu machen. Die Vorinstanz hat ihre Flüchtlingseigenschaft zu Recht verneint und das Asylgesuch gestützt auf Art. 40 in Verbindung mit Art. 6a Abs. 2 Bst. a AsylG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vorliegend keine Anwendung finden. Eine Rückkehr der Beschwerdeführerin in den Heimatstaat ist demnach unter dem Aspekt von Art. 5 AsylG rechtmässig. Sodann ergeben sich weder aus den Aussagen der Beschwerdeführerin noch aus den Akten Anhaltspunkte dafür, dass sie und ihre Kinder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Die allgemeine Lage im Kosovo ist weder von Bürgerkrieg noch von allgemeiner Gewalt gekennzeichnet, so dass der Vollzug der Wegweisung dorthin grundsätzlich zumutbar ist. Zudem gilt der Kosovo als "safe country". Wie die Vorinstanz zutreffend ausgeführt hat, ist die Beschwerdeführerin jung, arbeitsfähig und hat im Kosovo die obligatorische Schulzeit abgeschlossen. Ferner verfügt sie sowohl in ihrem Heimatland (wie auch im Ausland) über ein tragfähiges Beziehungsnetz, welches sie bereits vor ihrer Ausreise finanziell unterstützt hat. Zudem lebte sie bis zur Ausreise bei ihren Eltern, mit denen sie eigenen Angaben zufolge auch weiterhin in aktivem Kontakt steht. Es liegt somit eine gesicherte Wohnsituation vor. Zusätzlich verfügt sie in ihrem Heimatland auch über zahlreiche weitere Verwandten (Onkel, Tanten und Cousins). Wie von der Vorinstanz zutreffend ausgeführt, steht auch das Kindeswohl einem Wegweisungsvollzug nicht entgegen. Die Kinder haben bis zu ihrer Ausreise im Kosovo zusammen mit ihrer Mutter bei der Familie gelebt, sprechen die dortige Sprache und sind dort zur Schule gegangen. Aufgrund ihrer sehr kurzen Aufenthaltsdauer ist eine bereits erfolgte Integration in der Schweiz und eine dadurch bewirkte Entwurzelung ausgeschlossen. Hinsichtlich einer allfälligen Behandlung der gesundheitlichen Beeinträchtigungen der Beschwerdeführerin kann vollumfänglich auf die Ausführungen der Vorinstanz verwiesen werden. Daran vermag auch der auf Beschwerdeebene eingereichte ärztliche Untersuchungsbericht vom 13. Juni 2019 - aus welchem hervorgeht, dass die Beschwerdeführerin im Nachgang des negativen Asylentscheides stressbedingt ärztliche Hilfe in Anspruch nehmen musste - nichts zu ändern. Allfälligen im Vorfeld eines Wegweisungsvollzugs auftretenden psychischen Belastungen beziehungsweise allfälligen suizidalen Gedanken kann im Rahmen der Ausgestaltung der konkreten Vollzugsmodalitäten angemessen Rechnung getragen werden. Der Beschwerdeführerin bleibt es zudem unbenommen, für die Anfangsphase ihrer Rückkehr medizinische Rückkehrhilfe in Anspruch zu nehmen (vgl. Urteil des BVGer D-3001/2018 vom 10. April 2019 E. 8.4.4; D-233/2017 vom 9. März 2017 E. 10.8, 10.8.2). Nach dem Gesagten erweist sich der Vollzug der Wegweisung ebenfalls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