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E-317/2023 vom 11. April 2023</w:t>
      </w:r>
    </w:p>
    <w:p>
      <w:r>
        <w:t>Bundesverwaltungsgericht, 2023-04-11, DE</w:t>
      </w:r>
    </w:p>
    <w:p>
      <w:r>
        <w:rPr>
          <w:b/>
        </w:rPr>
        <w:t xml:space="preserve">Quelle: </w:t>
      </w:r>
      <w:r>
        <w:t>https://mcp.opencaselaw.ch/entscheid/bvger_E-317_2023</w:t>
      </w:r>
    </w:p>
    <w:p>
      <w:r>
        <w:t>FR: TAF E-317/2023 du 11 avril 2023</w:t>
      </w:r>
    </w:p>
    <w:p>
      <w:r>
        <w:t>IT: TAF E-317/2023 del 11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w:t>
      </w:r>
    </w:p>
    <w:p>
      <w:r>
        <w:t>Der Beschwerdeführer bringt vor, die Vorinstanz habe nicht individuell geprüft, dass er in Kroatien einer Gefahr ausgesetzt gewesen sei, sondern sich nur auf behördliche Aussagen und pauschale Versprechungen bezogen. Es sei lediglich in Form einer Standardformulierung erwähnt, dass Kroatien den rechtlichen Anforderungen an ein faires Verfahren nicht entspreche. Dies verletze den Anspruch auf rechtliches Gehör. Auch habe die Vorinstanz sich nicht damit auseinandergesetzt, dass er in Kroatien physischer und psychischer Gewalt ausgesetzt gewesen sei. Zudem sei ihm die Nahrung verweigert und er sei beleidigt sowie sein Vertrauen in den kroatischen Staat nachhaltig geschädigt worden. Es habe weder eine genauere Abklärung seiner «erlebten» Verletzungen stattgefunden, noch sei die Frage einer Kettenabschiebung geprüft worden. Unter Berücksichtigung eines WOZ-Artikels vom 22. Oktober 2022 bestünden auch erhebliche Zweifel an der Ernsthaftigkeit der durch die Vorinstanz durchgeführten Abklärungen zur Situation der Dublin-Rückkehrenden. Die Abklärungen seien im besten Fall unvollständig, wenn nicht sogar grob falsch. Zudem hätten deutsche Gerichte in den letzten Wochen und Monaten immer wieder Überstellungen nach Kroatien gerichtlich gestoppt und als unzumutbar erklärt sowie systemische Mängel festgestellt.</w:t>
      </w:r>
    </w:p>
    <w:p>
      <w:r>
        <w:rPr>
          <w:b/>
        </w:rPr>
        <w:t>E. 4.3</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4.4</w:t>
      </w:r>
    </w:p>
    <w:p>
      <w:r>
        <w:t>Die Vorinstanz hat sich unter Ziffer II auf Seite 3 mit den Vorbringen des Beschwerdeführers auseinandergesetzt und diese rechtsgenüglich begründet. Im Übrigen wird in der Beschwerde auch nicht konkretisiert, weshalb die Feststellung des Sachverhalts unvollständig respektive die Begründungspflicht verletzt sein soll, weshalb sich weitere Ausführungen dazu erübrigen. Entgegen der Auffassung des Beschwerdeführers hat sich die Vor-instanz auch mit allfälligen systemischen Mängeln rechtsgenüglich auseinandergesetzt. Dabei hat sie sich auf umfangreiche Abklärungen durch die Schweizer Botschaft in Kroatien abgestützt, gemäss denen bis heute keine Hinweise auf systemische Schwachstellen im kroatischen Asyl- und Aufnahmesystem festgestellt werden konnten. Die Vorinstanz ist damit auch ihrer Begründungspflicht nachgekommen. Schliesslich ist der Umstand, dass der Beschwerdeführer die Auffassung und Schlussfolgerungen der Vorinstanz hinsichtlich der Würdigung seiner Vorbringen nicht teilt, keine Verletzung des rechtlichen Gehörs oder der Pflicht zur vollständigen Sachverhaltsabklärung, sondern betrifft eine materielle Frage über die vorgebrachten Überstellungshindernisse.</w:t>
      </w:r>
    </w:p>
    <w:p>
      <w:r>
        <w:rPr>
          <w:b/>
        </w:rPr>
        <w:t>E. 4.5</w:t>
      </w:r>
    </w:p>
    <w:p>
      <w:r>
        <w:t>Aufgrund des Gesagten erweisen sich die formellen Rügen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kroatischen Behörden innert der in Art. 25 Abs. 1 Dublin-III-VO festgelegten Frist dem Wiederaufnahmegesuch der Vorinstanz zugestimmt haben, ist die Zuständigkeit Kroatiens grundsätzlich gegeben. Das Vorbringen des Beschwerdeführers, er habe in Kroatien kein Asylgesuch eingereicht, ist für die Bestimmung der Zuständigkeit unerheblich. Die Dublin-III-VO räumt den Schutzsuchenden kein Recht ein, den ihren Antrag prüfenden Staat selber auszuwählen (vgl. BVGE 2010/45 E. 8.3).</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auf Beschwerdeebene zitierten Berichte sowie der vom Beschwerdeführer geschilderten Erlebnisse mit den kroatischen Behörden ist nicht davon auszugehen, Kroatien verstosse zum heutigen Zeitpunkt systematisch gegen seine vertraglichen Verpflichtungen als zuständiger Dublin-Mitgliedstaat im Falle einer Rücküberstellung von Asylsuchenden.</w:t>
      </w:r>
    </w:p>
    <w:p>
      <w:r>
        <w:rPr>
          <w:b/>
        </w:rPr>
        <w:t>E. 6.3</w:t>
      </w:r>
    </w:p>
    <w:p>
      <w:r>
        <w:t>Nach dem Gesagten ist die Anwendung von Art. 3 Abs. 2 Dublin-III-VO nicht gerechtfertigt.</w:t>
      </w:r>
    </w:p>
    <w:p>
      <w:r>
        <w:rPr>
          <w:b/>
        </w:rPr>
        <w:t>E. 7.1</w:t>
      </w:r>
    </w:p>
    <w:p>
      <w:r>
        <w:t>Nachfolgend ist zu prüfen, ob das Selbsteintrittsrecht nach Art. 17 Abs. 1 erster Satz Dublin-III-VO beziehungsweise Art. 29a Abs. 3 AsylV 1 auszuüben ist.</w:t>
      </w:r>
    </w:p>
    <w:p>
      <w:r>
        <w:rPr>
          <w:b/>
        </w:rPr>
        <w:t>E. 7.2</w:t>
      </w:r>
    </w:p>
    <w:p>
      <w:r>
        <w:t>Der Beschwerdeführer macht sinngemäss geltend, es sei nicht sichergestellt, dass bei einer Rückführung nach Kroatien die Gefahr der Kettenabschiebung nach Burundi nicht bestehe. Des Weiteren weist er auf die schlechte Behandlung sowie die menschenunwürdigen Aufnahmebedingungen in Kroatien hin.</w:t>
      </w:r>
    </w:p>
    <w:p>
      <w:r>
        <w:rPr>
          <w:b/>
        </w:rPr>
        <w:t>E. 7.3</w:t>
      </w:r>
    </w:p>
    <w:p>
      <w:r>
        <w:t>Der Beschwerdeführer konnte vorliegend nicht darlegen, dass die ihn bei einer Rückführung im Rahmen des Dublin-Verfahrens nach Kroatien erwartenden Bedingungen derart schlecht sind, dass diese zu einer Verletzung von Art. 3 EMRK führen könnten. Das Bundesverwaltungsgericht geht davon aus, dass er sich nach der Dublin-Rücküberstellung in einer anderen Situation als bei seiner ersten Einreise nach Kroatien befinden wird (vgl. zit. Urteil des BVGer E-1488/2020 E. 9.4. sowie u.v. Urteil des BVGer D-668/2023 vom 9.2.2023 E. 7.2 m.w.H.). Daran vermögen auch die auf Beschwerdeebene zitierten Berichte von NGO's nichts zu ändern.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Dies gilt auch in Bezug auf die geltend gemachte Behandlung seitens der kroatischen Behörden. In gesundheitlicher Hinsicht liegt ein Bericht einer Konsultation beim Zentrumsarzt im BAZ vom 7. Dezember 2022 vor. Darin wurde festgehalten, dass beim Beschwerdeführer beidseitig (...) festgestellt wurden, welche mittels einer Ohrspülung entfernt wurden. Überdies wurde festgestellt, dass sein Allgemeinzustand ansonsten gut sei. Weitere Arztberichte liegen nicht vor. Nach dem Gesagten liegt auch in medizinischer Hinsicht offensichtlich kein Verstoss gegen Art. 3 EMRK vor.</w:t>
      </w:r>
    </w:p>
    <w:p>
      <w:r>
        <w:rPr>
          <w:b/>
        </w:rPr>
        <w:t>E. 7.4</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7.5</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w:t>
      </w:r>
    </w:p>
    <w:p>
      <w:r>
        <w:t>Die Vorinstanz ist demnach zu Recht gestützt auf Art. 31a Abs. 1 Bst. b AsylG auf das Asylgesuch des Beschwerdeführers nicht eingetreten und hat die Wegweisung nach Kroatien angeordnet. Die Beschwerde ist abzuweisen.</w:t>
      </w:r>
    </w:p>
    <w:p>
      <w:r>
        <w:rPr>
          <w:b/>
        </w:rPr>
        <w:t>E. 9.1</w:t>
      </w:r>
    </w:p>
    <w:p>
      <w:r>
        <w:t>Mit dem Entscheid in der Hauptsache sind die Gesuche um Erteilung der aufschiebenden Wirkung und um Verzicht auf die Erhebung eines Kostenvorschusses gegenstandslos geworden. Der mit superprovisorischer Massnahme vom 23. Januar 2023 angeordnete Vollzugsstopp fällt dahin.</w:t>
      </w:r>
    </w:p>
    <w:p>
      <w:r>
        <w:rPr>
          <w:b/>
        </w:rPr>
        <w:t>E. 9.2</w:t>
      </w:r>
    </w:p>
    <w:p>
      <w:r>
        <w:t>Das mit der Beschwerde gestellte Gesuch um Gewährung der unentgeltlichen Prozessführung ist abzuweisen, da die Begehren - wie sich aus den vorstehenden Erwägungen ergibt - als aussichtslos zu bezeichnen waren.</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