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E-3177/2012 vom 25. Februar 2013</w:t>
      </w:r>
    </w:p>
    <w:p>
      <w:r>
        <w:t>Bundesverwaltungsgericht, 2013-02-25, DE</w:t>
      </w:r>
    </w:p>
    <w:p>
      <w:r>
        <w:rPr>
          <w:b/>
        </w:rPr>
        <w:t xml:space="preserve">Quelle: </w:t>
      </w:r>
      <w:r>
        <w:t>https://mcp.opencaselaw.ch/entscheid/bvger_E-3177_2012</w:t>
      </w:r>
    </w:p>
    <w:p>
      <w:r>
        <w:t>FR: TAF E-3177/2012 du 25 février 2013</w:t>
      </w:r>
    </w:p>
    <w:p>
      <w:r>
        <w:t>IT: TAF E-3177/2012 del 25 febbraio 2013</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und) ist einzutreten.</w:t>
      </w:r>
    </w:p>
    <w:p>
      <w:r>
        <w:rPr>
          <w:b/>
        </w:rPr>
        <w:t>E. 2</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in der bisherigen Fassung.</w:t>
      </w:r>
    </w:p>
    <w:p>
      <w:r>
        <w:rPr>
          <w:b/>
        </w:rPr>
        <w:t>E. 5.1</w:t>
      </w:r>
    </w:p>
    <w:p>
      <w:r>
        <w:t>Ein Asylgesuch kann gemäss Art. 19 Abs. 1 AsylG im Ausland bei einer schweizerischen Vertretung gestellt werden, die es mit einem Bericht an das Bundesamt überweist (Art. 20 Abs. 1 AsylG).</w:t>
      </w:r>
    </w:p>
    <w:p>
      <w:r>
        <w:rPr>
          <w:b/>
        </w:rPr>
        <w:t>E. 5.2</w:t>
      </w:r>
    </w:p>
    <w:p>
      <w:r>
        <w:t>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 E-5509/2011 vom 22. November 2011 E. 4.4).</w:t>
      </w:r>
    </w:p>
    <w:p>
      <w:r>
        <w:rPr>
          <w:b/>
        </w:rPr>
        <w:t>E. 6.1</w:t>
      </w:r>
    </w:p>
    <w:p>
      <w:r>
        <w:t>Die Vorinstanz stellt in der angefochtenen Verfügung vorweg fest, der Sachverhalt sei vorliegend aufgrund der schriftlichen Eingaben hinreichend erstellt, weshalb auf eine Anhörung verzichtet werden könne. Praxisgemäss sei dem Beschwerdeführer mit Schreiben vom 16. Januar 2012 das rechtliche Gehör gewährt worden. Weiter führt sie aus, angesichts der zahlreichen Gewaltereignisse der letzten Jahre sei nachvollziehbar, dass der Beschwerdeführer Verfolgungsmassnahmen befürchte und deshalb das Land verlassen möchte. Indes sei er nicht aktuell gefährdet. Er verfüge über kein Profil, welches zum heutigen Zeitpunkt mit erheblicher Wahrscheinlichkeit zu einreiserelevanten Schwierigkeiten führe könnte. Die gelten gemachten Probleme seien in den Kontext der allgemeinen Situation während des Bürgerkrieges zu stellen. Seit der Beendigung des Krieges und der Niederlage der Tigers of Tamil Eelam (LTTE) habe sich die allgemeine Situation wesentlich verändert. Schliesslich habe der Beschwerdeführer in seinen Schreiben vom 12. und 21. Februar 2012 nicht geltend gemacht, einer konkreten Gefährdungssituation ausgesetzt zu sein.</w:t>
      </w:r>
    </w:p>
    <w:p>
      <w:r>
        <w:rPr>
          <w:b/>
        </w:rPr>
        <w:t>E. 6.2</w:t>
      </w:r>
    </w:p>
    <w:p>
      <w:r>
        <w:t>Der Beschwerdeführer verweist in der Rechtsmitteleingabe auf den langjährigen Konflikt in Sri Lanka, durch welchen ihm einerseits Leid zugeführt worden sei, andererseits Ausbildungs- und Berufsmöglichkeiten entgangen seien. Mit der Vorinstanz ist festzuhalten, dass diese Benachteiligungen in Zusammenhang mit der damaligen Bürgerkriegssituation und der damit verbundenen Bekämpfung der LTTE zu sehen sind. Seither hat sich die allgemeine Lage in Sri Lanka entgegen der Ansicht des Beschwerdeführers wesentlich verändert. Einer erhöhten Verfolgungsgefahr sehen sich heute Personen ausgesetzt, die einer bestimmten Risikogruppe angehören (vgl. dazu im Einzelnen BVGE 2011/24). Der Beschwerdeführer gehört keiner dieser Gruppen an. Soweit er in der Rechtsmitteingabe geltend macht, als H._______ von ehemaligen LTTE-Kadern sowie vom Militär beobachtet und sich deshalb in einer prekären Situation zu befinden, ist festzustellen, dass er diese Tätigkeit seit Jahren offensichtlich ohne ernsthafte Beeinträchtigungen ausübt. Der Beschwerdeführer verfügt somit über kein besonderes Profil, welches eine Gefährdung im Sinne von Art. 3 AsylG als wahrscheinlich erscheinen lässt.</w:t>
      </w:r>
    </w:p>
    <w:p>
      <w:r>
        <w:rPr>
          <w:b/>
        </w:rPr>
        <w:t>E. 6.3</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Die Vorinstanz hat demnach dem Beschwerdeführer zu Recht die Einreise in die Schweiz nicht bewilligt und das Asylgesuch aus dem Ausland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