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E-3171/2014 vom 12. Juni 2014</w:t>
      </w:r>
    </w:p>
    <w:p>
      <w:r>
        <w:t>Bundesverwaltungsgericht, 2014-06-12, DE</w:t>
      </w:r>
    </w:p>
    <w:p>
      <w:r>
        <w:rPr>
          <w:b/>
        </w:rPr>
        <w:t xml:space="preserve">Quelle: </w:t>
      </w:r>
      <w:r>
        <w:t>https://mcp.opencaselaw.ch/entscheid/bvger_E-3171_2014</w:t>
      </w:r>
    </w:p>
    <w:p>
      <w:r>
        <w:t>FR: TAF E-3171/2014 du 12 juin 2014</w:t>
      </w:r>
    </w:p>
    <w:p>
      <w:r>
        <w:t>IT: TAF E-3171/2014 del 12 giugno 2014</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w:t>
      </w:r>
    </w:p>
    <w:p>
      <w:r>
        <w:rPr>
          <w:b/>
        </w:rPr>
        <w:t>E. 1.2</w:t>
      </w:r>
    </w:p>
    <w:p>
      <w:r>
        <w:t>Parteieingaben in Verfahren vor Bundesbehörden sind in einer Amtssprache - in der Regel Deutsch, Französisch oder Italienisch - abzufassen (Art. 70 Abs. 1 BV und Art. 33a Abs. 1 VwVG). Die undatierte Eingabe des Beschwerdeführers ist auf Eng­lisch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Auf die im Weiteren fristgerecht eingereichte Beschwerde ist somit einzutreten. Gestützt auf Art. 33a Abs. 2 VwVG i.V.m. Art. 6 AsylG ergeht der vorliegende Entscheid in deutscher Sprache.</w:t>
      </w:r>
    </w:p>
    <w:p>
      <w:r>
        <w:rPr>
          <w:b/>
        </w:rPr>
        <w:t>E. 2.1</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(aAsylG) gelten (Übergangsbestimmung zur Änderung vom 28. September 2012; AS 2012 5359).</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im Wesentlichen fest, es gäbe keine Anhaltspunkte dafür, dass dem Beschwerdeführer ein Verbleib im Sudan nicht zumutbar oder möglich wäre. Er könne sich beim UNHCR im Sudan registrieren lassen, falls seine Situation kritisch und er im Sudan gefährdet sein sollte. Mit Hinweisen auf die Rechtsprechung sei das Risiko einer Verschleppung oder Deportation für Äthiopier, die im Sudan vom UNHCR als Flüchtlinge anerkannt würden, gering. Er habe nicht glaubhaft darlegen können, persönlich faktisch und unmittelbar bedroht zu sein, unter Verletzung des Non-Refoulement-Prinzips nach Äthiopien zurückgeschafft zu werden. Seine schwierige Lebenssituation in Khartum stelle keinen Grund für die Bewilligung der Einreise in die Schweiz dar. Überdies lebe im Sudan eine grosse äthiopische Diaspora, die für in Not geratene Landsleute bereitstehe und weitgehend Unterstützung biete. In Bezug auf Art. 52 Abs. 2 aAsylG besitze der Beschwerdeführer auch keine Familienangehörigen in der Schweiz oder habe sonst irgendeine besondere Beziehungsnähe zu diesem Land, die die vorangehenden Feststellungen umzustossen vermochten.</w:t>
      </w:r>
    </w:p>
    <w:p>
      <w:r>
        <w:rPr>
          <w:b/>
        </w:rPr>
        <w:t>E. 5.2</w:t>
      </w:r>
    </w:p>
    <w:p>
      <w:r>
        <w:t>Der Beschwerdeführer erneuert im Wesentlichen seine Vorbringen vor der Vorinstanz, ohne sich mit den Erwägungen der angefochtenen Verfügung auseinanderzusetzen. Damit legt er nicht dar, inwiefern die Vorinstanz Bundesrecht verletzt oder eine fehlerhafte Sachverhaltsfeststellung vorgenommen haben soll. Solches ist auch nicht ersichtlich. Um Wiederholungen zu vermeiden, kann insbesondere auch bezüglich der Rechtsprechung zu Art. 52 Abs. 2 aAslyG vollumfänglich auf die Erwägungen der Vorinstanz verwiesen werden. So trifft gemäss den Akten zu, dass der Beschwerdeführer seit drei Jahren im Sudan lebt, ohne dass er dort Schwierigkeiten gehabt hätte, die im vorliegenden Kontext entscheidend wären. Bei einem Asylgesuch aus einem Drittstaat ist im Sinne einer Regelvermutung davon auszugehen, die betreffende Person habe dort bereits anderweitig Schutz gefunden, was in der Regel zur Ablehnung des Asylgesuchs und der Verweigerung der Einreisebewilligung führt (vgl. Urteil des BVGer E-7996/2008 vom 10. Dezember 2009 E. 2.2). Auch kann der Beschwerdeführer aus der schwierigen wirtschaftlichen Situation im Sudan nichts zu seinen Gunsten ableiten.</w:t>
      </w:r>
    </w:p>
    <w:p>
      <w:r>
        <w:rPr>
          <w:b/>
        </w:rPr>
        <w:t>E. 5.3</w:t>
      </w:r>
    </w:p>
    <w:p>
      <w:r>
        <w:t>Somit ist in Übereinstimmung mit der Vorinstanz festzustellen, dass dem Beschwerdeführer ein weiterer Verbleib im Sudan zumutbar ist und er auf den Schutz der Schweiz nicht angewiesen ist. Die Vorinstanz hat demnach dem Beschwerdeführer zu Recht die Einreise in die Schweiz verweigert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