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E-316/2014 vom 5. Februar 2014</w:t>
      </w:r>
    </w:p>
    <w:p>
      <w:r>
        <w:t>Bundesverwaltungsgericht, 2014-02-05, DE</w:t>
      </w:r>
    </w:p>
    <w:p>
      <w:r>
        <w:rPr>
          <w:b/>
        </w:rPr>
        <w:t xml:space="preserve">Quelle: </w:t>
      </w:r>
      <w:r>
        <w:t>https://mcp.opencaselaw.ch/entscheid/bvger_E-316_2014</w:t>
      </w:r>
    </w:p>
    <w:p>
      <w:r>
        <w:t>FR: TAF E-316/2014 du 5 février 2014</w:t>
      </w:r>
    </w:p>
    <w:p>
      <w:r>
        <w:t>IT: TAF E-316/2014 del 5 febbraio 2014</w:t>
      </w:r>
    </w:p>
    <w:p>
      <w:pPr>
        <w:pStyle w:val="Heading2"/>
      </w:pPr>
      <w:r>
        <w:t>Regeste</w:t>
      </w:r>
    </w:p>
    <w:p>
      <w:r>
        <w:t>Asylverfahren (Übriges)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Es wird festgestellt, dass das Verfahren vor dem BFM zu lange dauert.</w:t>
      </w:r>
    </w:p>
    <w:p>
      <w:r>
        <w:rPr>
          <w:b/>
        </w:rPr>
        <w:t>E. 2</w:t>
      </w:r>
    </w:p>
    <w:p>
      <w:r>
        <w:t>Das BFM wird angewiesen, das Asylgesuch des Beschwerdeführers beförderlich zu behandeln und in Kürze einem Entscheid zuzuführen.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dem Beschwerdeführer für das Rechtsmittelverfahren eine Parteientschädigung von Fr. 450.- (inklusive Auslagen und Mehrwertsteueranteil) zu entrichten.</w:t>
      </w:r>
    </w:p>
    <w:p>
      <w:r>
        <w:rPr>
          <w:b/>
        </w:rPr>
        <w:t>E. 5</w:t>
      </w:r>
    </w:p>
    <w:p>
      <w:r>
        <w:t>Dieses Urteil geht an den Beschwerdeführer, das BFM und (...). Die Einzelrichterin: Der Gerichtsschreiber: Esther Karpathakis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