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E-3167/2015 vom 17. Juni 2015</w:t>
      </w:r>
    </w:p>
    <w:p>
      <w:r>
        <w:t>Bundesverwaltungsgericht, 2015-06-17, DE</w:t>
      </w:r>
    </w:p>
    <w:p>
      <w:r>
        <w:rPr>
          <w:b/>
        </w:rPr>
        <w:t xml:space="preserve">Quelle: </w:t>
      </w:r>
      <w:r>
        <w:t>https://mcp.opencaselaw.ch/entscheid/bvger_E-3167_2015</w:t>
      </w:r>
    </w:p>
    <w:p>
      <w:r>
        <w:t>FR: TAF E-3167/2015 du 17 juin 2015</w:t>
      </w:r>
    </w:p>
    <w:p>
      <w:r>
        <w:t>IT: TAF E-3167/2015 del 17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der Beschwerdeführer sei vor der Unabhängigkeit Eritreas geboren worden und besitze damit gemäss äthiopischem Recht die äthiopische Staatsangehörigkeit. Es sei aus den Akten nicht ersichtlich, dass sich daran nach der Unabhängigkeit Eritreas etwas geändert habe, da er nicht geltend gemacht habe, er oder seine Eltern hätten am Unabhängigkeitsreferendum teilgenommen. Die vom Beschwerdeführer eingereichte, angeblich seiner Mutter gehörende eritreische Identitätskarte vermöge an diesen Feststellungen nichts zu ändern. Es handle sich hierbei um ein Identitätsdokument einer Drittperson, welches nichts über seine Staatsangehörigkeit auszusagen vermöge. Die Ausführungen des Beschwerdeführers zu den von ihm in Äthiopien erlebten Nachteilen seien Ausdruck der schwierigen wirtschaftlichen und sozialen Verhältnisse in diesem Land. Von diesen seien jedoch viele Personen betroffen, und sie seien daher flüchtlingsrechtlich nicht relevant. Zudem habe der Beschwerdeführer angegeben, er habe keine Probleme mit den dortigen Behörden gehabt. Seine Vorbringen vermöchten daher den Anforderungen an die Asylrelevanz nicht zu genügen. Im Weiteren würden sich aus den Akten keine Anhaltspunkte dafür ergeben, dass ihm im Falle der Rückkehr in den Heimatstaat mit beachtlicher Wahrscheinlichkeit eine durch Art. 3 EMRK verbotene Strafe oder Behandlung drohe. In Äthiopien herrsche weder Bürgerkrieg noch eine Situation allgemeiner Gewalt im Sinne von Art. 83 Abs. 4 AuG (SR 142.20). Ferner würden sich den Akten auch keine individuellen Gründe ergeben, welche den Wegweisungsvollzug als unzumutbar erscheinen lassen würden. Der Beschwerdeführer sei jung und gesund und verfüge über eine Schulbildung sowie eine gewisse berufliche Ausbildung.</w:t>
      </w:r>
    </w:p>
    <w:p>
      <w:r>
        <w:rPr>
          <w:b/>
        </w:rPr>
        <w:t>E. 5.2</w:t>
      </w:r>
    </w:p>
    <w:p>
      <w:r>
        <w:t>Der Beschwerdeführer hielt in seiner Beschwerde daran fest, eritreischer Staatsangehöriger zu sein. Durch die von ihm eingereichten Identitätsdokumente, die inhaltlich mit seinen Angaben zu den Personalien seiner Familienangehörigen übereinstimmen würden, sei erstellt, dass seine Mutter und sein Bruder E._______ im Jahre (...) die eritreische Staatsangehörigkeit erworben hätten. Hieraus könne geschlossen werden, dass auch er zusammen mit seinen Angehörigen die eritreische Staatsangehörigkeit erworben und damit seine ursprüngliche äthiopische Staatsbürgerschaft verloren habe. Die Vorinstanz habe nicht beachtet, dass er mithilfe seines Pflegevaters versucht habe, als äthiopischer Staatsangehöriger anerkannt zu werden, die Behörden ihm dies jedoch verweigert hätten und er demnach seinen Aufenthalt in Äthiopien nicht habe legalisieren können. Seine eritreische Staatsangehörigkeit werde durch das beiliegende Schreiben der Gemeinde B._______ bestätigt. Das SEM sei anzuweisen, seine Angaben mittels einer Botschaftsabklärung zu überprüfen. Er habe in Äthiopien kein menschenwürdiges Leben mehr führen können und den psychischen Druck nicht mehr ertragen, welcher durch seinen illegalen Aufenthalt, die Ermordung seines Bruders, die diesbezügliche Untätigkeit der Behörden, die Belästigungen und Erniedrigung durch Drittpersonen, die Trennung von seiner Familie und die Befürchtung, dasselbe Schicksal wie sein Bruder zu erleiden, entstanden sei. Seine Angaben seien widerspruchsfrei und plausibel und damit glaubhaft. Als eritreischer Staatsangehöriger könne er nicht nach Äthiopien zurückkehren und in Eritrea sei die allgemeine Situation für junge Menschen noch schlechter. Er müsse dort mit einer asylrechtlich relevanten Gefährdung rechnen. Es sei ihm daher gemäss Art. 3 AsylG Asyl zu gewähren. Weil er nicht äthiopischer Staatsangehöriger sei, sei der Wegweisungsvollzug nach Äthiopien unzulässig und unmöglich. Ebenso sei der Vollzug der Wegweisung nach Eritrea unzulässig und unzumutbar, weil ihm dort eine menschenunwürdige Behandlung, willkürliche Inhaftierung und ein langer Militärdienst drohen würden.</w:t>
      </w:r>
    </w:p>
    <w:p>
      <w:r>
        <w:rPr>
          <w:b/>
        </w:rPr>
        <w:t>E. 6.1</w:t>
      </w:r>
    </w:p>
    <w:p>
      <w:r>
        <w:t>Das Gericht teilt die Auffassung der Vorinstanz, dass aufgrund der Aktenlage davon ausgegangen werden kann, der Beschwerdeführer sei äthiopischer Staatsangehöriger. Es kann hierzu auf die zutreffenden Erwägungen in der angefochtenen Verfügung verwiesen werden. Die vom Beschwerdeführer eingereichten Identitätsdokumente von zwei Personen, bei welchen es sich nach seinen Angaben um seine Mutter und einen Bruder handelt, vermögen seine angebliche eritreische Staatsangehörigkeit nicht zu belegen. Selbst wenn es sich bei den Personen tatsächlich um seine Familienangehörigen handeln sollte und diese somit allenfalls die eritreische Staatsbürgerschaft erworben haben sollten, ist nicht davon auszugehen, dass dieser Umstand sich auf die äthiopische Nationalität des Beschwerdeführers ausgewirkt hätte (vgl. hierzu Urteil des BVGer E 1206/2013 vom 23. Dezember 2013, E. 4.4 m.w.H.). Dass der Beschwerdeführer selbst am Unabhängigkeitsreferendum teilgenommen und dadurch seine äthiopische Staatsangehörigkeit verloren hätte, kann angesichts seines damaligen Kindesalters von vornherein ausgeschlossen werden. Die im Beschwerdeverfahren eingereichte Bestätigung der Behörden von B._______ vermag weder die angeblichen vergeblichen Bemühungen des Beschwerdeführers um die Ausstellung eines äthiopischen Identitätsdokuments noch einen Verlust der äthiopischen Staatsangehörigkeit zu belegen. Zumal er zu Protokoll gab, er habe selber nie irgendein Identitätsdokument besessen, ist nicht nachvollziehbar, auf wel­cher Grundlage die Angabe der dieses Dokument ausstellenden äthiopischen Behörde beruht, er habe die eritreische Staatsangehörigkeit erworben. In Anbetracht der klaren Aktenlage ist keine Notwendigkeit für eine diesbezügliche Botschaftsabklärung ersichtlich, weshalb der entsprechende Antrag des Beschwerdeführers abzuweisen ist. Das Motiv für die geschilderte Tötung seines Bruders C._______ im Jahre 2011 ist nicht bekannt, weshalb aus diesem Ereignis nicht auf eine asylrechtlich relevante Gefährdung des Beschwerdeführers geschlossen werden kann. Im Weiteren ist in Übereinstimmung mit der Vorinstanz festzustellen, dass in den vom Beschwerdeführer vorgebrachten Schwierigkeiten in seinem Herkunftsland Äthiopien mangels hinreichender Intensität keine asylrelevante Verfolgung erblickt werden kann. Insbesondere haben diese nicht eine derartige Intensität erreicht, dass von einem unerträglichen psychischen Druck im Sinne von Art. 3 AsylG auszugehen wäre (vgl. BVGE 2010/28 E. 3.3.1.1 m.w.H.).</w:t>
      </w:r>
    </w:p>
    <w:p>
      <w:r>
        <w:rPr>
          <w:b/>
        </w:rPr>
        <w:t>E. 6.2</w:t>
      </w:r>
    </w:p>
    <w:p>
      <w:r>
        <w:t>Zusammenfassend ist festzuhalten, dass es dem Beschwerde­füh­rer nicht gelungen ist, eine Verfolgungsgefahr im Sinne von Art. 3 AsylG nachzu­weisen oder glaubhaft darzutun. Die Vorinstanz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Herkunftsstaat ist demnach unter dem Aspekt von Art. 5 AsylG rechtmässig. Sodann ergeben sich weder aus den Aussagen des Beschwerdeführers noch aus den Akten Anhaltspunkte dafür, dass er für den Fall einer Ausschaffung in den Herkunftsstaat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Herkunftsstaat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Der Wegweisungsvollzug nach Äthiopien wird praxisgemäss als generell zumutbar erachtet (vgl. BVGE 2011/25 E. 8.3). Zudem ergeben sich aus den Akten keine individuellen Gründe, die auf eine konkrete Gefährdung des Beschwerdeführers im Falle einer Rückkehr schliessen lassen. Es kann auf die zutreffenden Erwägungen in der vorinstanzlichen Verfügung verwiesen werden, welche vom Beschwerdeführer nicht bestritten wurden.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Antrag auf Gewährung der unentgeltlichen Prozessführung gemäss Art. 65 Abs. 1 VwVG ist abzuweisen, nachdem die Rechtsbegehren sich als aussichtslos erwiesen haben. Das Gesuch um Befreiung von der Kostenvorschusspflicht wird mit dem heutigen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