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E-3159/2025 vom 24. Juli 2025</w:t>
      </w:r>
    </w:p>
    <w:p>
      <w:r>
        <w:t>Bundesverwaltungsgericht, 2025-07-24, DE</w:t>
      </w:r>
    </w:p>
    <w:p>
      <w:r>
        <w:rPr>
          <w:b/>
        </w:rPr>
        <w:t xml:space="preserve">Quelle: </w:t>
      </w:r>
      <w:r>
        <w:t>https://mcp.opencaselaw.ch/entscheid/bvger_E-3159_2025</w:t>
      </w:r>
    </w:p>
    <w:p>
      <w:r>
        <w:t>FR: TAF E-3159/2025 du 24 juillet 2025</w:t>
      </w:r>
    </w:p>
    <w:p>
      <w:r>
        <w:t>IT: TAF E-3159/2025 del 24 luglio 2025</w:t>
      </w:r>
    </w:p>
    <w:p>
      <w:pPr>
        <w:pStyle w:val="Heading2"/>
      </w:pPr>
      <w:r>
        <w:t>Regeste</w:t>
      </w:r>
    </w:p>
    <w:p>
      <w:r>
        <w:t>Asyl (ohne Wegweisungsvollzug) (beschleunigtes Verfahren)</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mit der Beschwerdeverbesserung auch formgerecht eingereicht worden. Die Beschwerdeführerin ist zur Einrei- chung der Beschwerde legitimiert (Art. 105 und Art. 108 Abs. 1 AsylG; Art. 48 Abs. 1 und Art. 52 Abs. 1 VwVG). Auf die Beschwerde ist einzutreten.</w:t>
      </w:r>
    </w:p>
    <w:p>
      <w:r>
        <w:rPr>
          <w:b/>
        </w:rPr>
        <w:t>E. 2</w:t>
      </w:r>
    </w:p>
    <w:p>
      <w:r>
        <w:t>Der Prozessgegenstand beschränkt sich vorliegend auf die Dispositivzif- fern 1 bis 3 der angefochtenen Verfügung (Flüchtlingseigenschaft, Asyl und Wegweisung).</w:t>
      </w:r>
    </w:p>
    <w:p>
      <w:r>
        <w:rPr>
          <w:b/>
        </w:rPr>
        <w:t>E. 3</w:t>
      </w:r>
    </w:p>
    <w:p>
      <w:r>
        <w:t>Mit Beschwerde kann die Verletzung von Bundesrecht sowie die unrichtige oder unvollständige Feststellung des rechtserheblichen Sachverhalts ge- rügt werden (Art. 106 Abs. 1 AsylG).</w:t>
      </w:r>
    </w:p>
    <w:p>
      <w:r>
        <w:rPr>
          <w:b/>
        </w:rPr>
        <w:t>E. 4</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t>E-3159/2025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die angefochtene Verfügung im Wesentlichen da- mit, dass zwischen der Mitnahme der Beschwerdeführerin vor acht Jahren und ihrer Ausreise angesichts der langen Zeitspanne kein Kausalzusam- menhang vorliege. Über die Vergewaltigung wisse einzig ihre Schwieger- mutter Bescheid, die ihr geholfen habe. Auch die Probleme mit ihrer Fami- lie im Jahre 2008 seien nicht mehr aktuell. Hinsichtlich des Einwands der Rechtsvertretung im Rahmen der Stellungnahme zum Entscheidentwurf hält es fest, dass sich die im Grundsatzurteil BVGE 2014/27 genannten Risikofaktoren auf intern vertriebene Personen bezögen, die infolge be- waffneter Konflikte und Naturkatastrophen, nicht jedoch wegen Uneinigkei- ten mit der Familie vertrieben worden seien. Ausserdem gehöre sie einem Mehrheitenclan an und habe nach wie vor in dessen Gebiet gelebt.</w:t>
      </w:r>
    </w:p>
    <w:p>
      <w:r>
        <w:rPr>
          <w:b/>
        </w:rPr>
        <w:t>E. 6.2</w:t>
      </w:r>
    </w:p>
    <w:p>
      <w:r>
        <w:t>Dagegen wendet die Beschwerdeführerin ein, nicht der Zeitpunkt des letzten Übergriffs sei ausschlaggebend, sondern ob die betroffene Person auch heute noch in begründeter Weise Furcht habe, erneut ernsthaften Nachteilen ausgesetzt zu werden. Dass sie versteckt gelebt habe, sei im Übrigen ein Indiz für das Vorliegen einer anhaltenden Bedrohungslage. Es seien die in BVGE 2014/27 festgehaltenen Risikofaktoren zu beachten, da die Beschwerdeführerin von ihrer Familie verstossen worden sei und als</w:t>
      </w:r>
    </w:p>
    <w:p>
      <w:r>
        <w:t>E-3159/2025 Seite 6 Nomadin gelebt habe, sodass sie faktisch als intern Vertriebene zu gelten habe. Sie gehöre zwar einem Mehrheitsclan an, indessen sei ihr aufgrund ihrer Verstossung der Zugang zu dessen Schutz verwehrt. Ebenso wenig könne sie Schutz von ihrem Ehemann erwarten, welcher keinem Clan an- gehöre und untergetaucht sei. Es fehle sowohl an staatlichem Schutz als auch an einer internen Schutzalternative. Zusätzlich sei sie in Somalia Op- fer einer Infibulation geworden und bei einer Rückkehr bestehe die Gefahr einer Refibulation.</w:t>
      </w:r>
    </w:p>
    <w:p>
      <w:r>
        <w:rPr>
          <w:b/>
        </w:rPr>
        <w:t>E. 7.1</w:t>
      </w:r>
    </w:p>
    <w:p>
      <w:r>
        <w:t>Die Beschwerdeführerin begründet ihren Eventualantrag auf Rückwei- sung damit, dass die Vorinstanz den Untersuchungsgrundsatz verletzt habe, indem sie es unterlassen habe, Abklärungen zu den in BVGE 2014/27 genannten Risikofaktoren zu tätigen. Ihre Genitalverstüm- melung sei im Verfahren kaum thematisiert und ebenso wenig in der ange- fochtenen Verfügung gewürdigt worden. Anlässlich ihrer Anhörung sei ein- zig eine Frage zu ihrer Beschneidung gestellt worden und Nachfragen be- treffend die Gefahr einer allfälligen Refibulation seien unterblieben, ganz zu schweigen von der Durchführung einer medizinischen Untersuchung. Schliesslich sei sie auch nicht danach gefragt worden, was sie bei einer Rückkehr nach Somalia zu befürchten habe. Die Beschwerdeführerin er- hebt damit formelle Rügen, welche vorab zu beurteilen sind, da sie allen- falls geeignet wären, eine Kassation der vorinstanzlichen Verfügung zu be- wirken.</w:t>
      </w:r>
    </w:p>
    <w:p>
      <w:r>
        <w:rPr>
          <w:b/>
        </w:rPr>
        <w:t>E. 7.2</w:t>
      </w:r>
    </w:p>
    <w:p>
      <w:r>
        <w:t>Der Untersuchungsgrundsatz gehört zu den allgemeinen Grundsätzen des Verwaltungs- respektive des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 chen Sachverhalts bildet einen Beschwerdegrund (Art. 106 Abs. 1 Bst. b AsylG). Unrichtig ist die Sachverhaltsfeststellung, wenn der Verfügung ein falscher und aktenwidriger Sachverhalt zugrunde gelegt wird; unvollständig ist sie, wenn nicht alle für den Entscheid rechtswesentlichen Sachum- stände berücksichtigt werden (vgl. KÖLZ/HÄNER/BERTSCHI, Verwaltungs- verfahren und Verwaltungsrechtspflege des Bundes, 3. Aufl. 2013, Rz. 1043).</w:t>
      </w:r>
    </w:p>
    <w:p>
      <w:r>
        <w:t>E-3159/2025 Seite 7 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Im Asylverfahren sind die Anforderungen an die Begründungsdichte regelmässig hoch, wiegen die rechtlich geschützten In- teressen der Betroffenen doch allgemein schwer (vgl. PATRICK SUTTER, in: Kommentar VwVG, 2. Aufl. 2019, Art. 32 VwVG, Rz. 3). Die Behörde kann sich in ihrer Argumentation zwar auf die für den Entscheid wesentlichen Gesichtspunkte beschränken; sie darf aber nur diejenigen Argumente still- schweigend übergehen, die für den Entscheid erkennbar unbehelflich sind. In diesem Sinne müssen wenigstens kurz die Überlegungen genannt wer- den, von denen sich die Behörde hat leiten lassen und auf die sich ihr Ent- scheid stützt (vgl. BGE 134 I 83 E. 4.1; BVGE 2007/21 E. 10.2 m.w.H.).</w:t>
      </w:r>
    </w:p>
    <w:p>
      <w:r>
        <w:rPr>
          <w:b/>
        </w:rPr>
        <w:t>E. 7.3</w:t>
      </w:r>
    </w:p>
    <w:p>
      <w:r>
        <w:t>Weibliche Genitalverstümmelung ist eine Form geschlechtsspezifi- scher Gewalt, die sowohl psychisches als auch physisches Leiden zur Folge hat und einer asylrelevanten Verfolgung gleichkommt (vgl. ausführ- lich dazu Urteil des BVGer E-3512/2019 vom 27. Juli 2020 E. 8.2.4). So- dann ist im Somalia-Kontext gemäss der einschlägigen Praxis des Bun- desverwaltungsgerichts einer Vielzahl an (frauenspezifischen) Faktoren Rechnung zu tragen, welche allenfalls Asylrelevanz entfalten können. Das Gericht hat sich in BVGE 2014/27 ausführlich dazu geäussert und festge- stellt, dass für alleinstehende Frauen und Mädchen in Somalia, welche nicht unter dem Schutz eines männlichen Familienmitglieds stehen, ein ho- hes Risiko besteht, Opfer gezielter geschlechtsspezifischer Verfolgung zu werden (vgl. ebd. E. 5.4). Speziell gefährdet sind Frauen und Mädchen, wenn sie intern vertrieben worden sind oder einem Minderheitenclan an- gehören. Die somalischen Behörden können diese Frauen nicht schützen. Ein gewisser Schutz kann einzig von den Clan-Strukturen oder von der ei- genen Kernfamilie ausgehen, was Frauen aus Minderheitenclans und Al- leinstehende ohne männliche Familienangehörige besonders verletzlich macht. Als zusätzlich erschwerenden Faktor erachtete das Gericht im ge- nannten Fall den Umstand, dass die Beschwerdeführerin als Kind in der schwerstmöglichen Form an den Genitalien beschnitten worden war (vgl. ebd. E. 5.2-5.6).</w:t>
      </w:r>
    </w:p>
    <w:p>
      <w:r>
        <w:rPr>
          <w:b/>
        </w:rPr>
        <w:t>E. 7.4.1</w:t>
      </w:r>
    </w:p>
    <w:p>
      <w:r>
        <w:t>Zu Recht wendet die Beschwerdeführerin ein, dass das SEM die von ihr anlässlich ihrer Anhörung vorgebrachte Beschneidung in der angefoch- tenen Verfügung an keiner Stelle erwähnt. Nachdem sie auf die Frage nach</w:t>
      </w:r>
    </w:p>
    <w:p>
      <w:r>
        <w:t>E-3159/2025 Seite 8 allfälligen Leiden im Intimbereich angegeben hatte «…die Beschneidung ist sehr lange her. Danach habe ich geheiratet, Kinder bekommen. Am An- fang war es schmerzhaft, aber jetzt nicht mehr.» (A16 F85) und das SEM hinsichtlich einer Genitalverstümmelung keine weiteren Abklärungen getä- tigt hat, ist davon auszugehen, dass es an deren Vorliegen keine Zweifel hegt. Vor dem Hintergrund des vorstehend Gesagten (E. 7.3) wäre es des- halb gehalten gewesen, in der angefochtenen Verfügung darzulegen, in- wiefern die Beschneidung auch keine Furcht vor Verfolgung zu begründen vermag, insbesondere aufgrund einer allfällig drohenden Refibulation. So- fern es hingegen die Beschneidung der Beschwerdeführerin bezweifelt, hätten sich vor Erlass der angefochtenen Verfügung Abklärungen aufge- drängt. Obschon die zugewiesene Rechtsvertretung das SEM im Rahmen ihres Antrags auf Durchführung der Anhörung durch Angehörige des glei- chen Geschlechts über die Möglichkeit des Vorhandenseins einer solchen Beschneidung informiert und mitgeteilt hatte, dass eine Abklärung bislang nicht habe stattfinden können, hat das SEM nichts unternommen, um den Sachverhalt in dieser Hinsicht festzustellen. So stellte die zuständige Sach- bearbeiterin an der Anhörung diesbezüglich keine konkreten Fragen und sah sie sich auch nach Erwähnung der Beschneidung zu keinen Nachfra- gen veranlasst. Sodann unterliess es das SEM, die Beschwerdeführerin aufzufordern, einen ärztlichen Bericht einzureichen oder eine ärztliche Un- tersuchung anzuordnen.</w:t>
      </w:r>
    </w:p>
    <w:p>
      <w:r>
        <w:rPr>
          <w:b/>
        </w:rPr>
        <w:t>E. 7.4.2</w:t>
      </w:r>
    </w:p>
    <w:p>
      <w:r>
        <w:t>Wie die Beschwerdeführerin ebenfalls zutreffend einwendet, hat es das SEM trotz Vorliegens aktenkundiger Hinweise unterlassen, in Anwen- dung der Rechtsprechung gemäss BVGE 2014/27 zu prüfen, ob sie die genannten Risikofaktoren erfüllt, sodass sie bei einer Rückkehr nach So- malia begründete Furcht hat, einer (erneuten) geschlechtsspezifischen Verfolgung ausgesetzt zu werden. Dabei muss der Risikofaktor der inter- nen Vertreibung nicht kumulativ zu den anderen Faktoren erfüllt sein, um eine besondere Verletzlichkeit zu bejahen (Urteil des BVGer D-4936/2019 vom 27. Juli 2020 E. 5.3 m.w.H.). Nachdem die Beschwerdeführerin mit ih- ren Vorbringen, sie sei nach der Heirat eines aus einer unehelichen Ver- bindung stammenden Mannes von ihrer Familie verstossen worden, sei nach dessen Untertauchen von Angehörigen der Al-Shabab vergewaltigt worden und habe fortan an verschiedenen Orten zusammen mit ihrer Schwiegermutter gelebt, mehrere Risikofaktoren – insbesondere auch das Fehlen (erwachsener) männlicher Familienangehöriger – genannt hat, wäre das SEM gehalten gewesen, sich in der angefochtenen Verfügung mit diesen respektive mit sämtlichen Risikofaktoren auseinanderzusetzen.</w:t>
      </w:r>
    </w:p>
    <w:p>
      <w:r>
        <w:t>E-3159/2025 Seite 9</w:t>
      </w:r>
    </w:p>
    <w:p>
      <w:r>
        <w:rPr>
          <w:b/>
        </w:rPr>
        <w:t>E. 7.4.3</w:t>
      </w:r>
    </w:p>
    <w:p>
      <w:r>
        <w:t>Zusammenfassend ist daher festzustellen, dass das SEM sowohl den Untersuchungsgrundsatz als auch die Begründungspflicht verletzt hat, indem es in der angefochtenen Verfügung die von der Beschwerdeführerin geltend gemachte Beschneidung unberücksichtigt liess und versäumte, die im Urteil BVGE 2014/27 genannten Risikofaktoren hinreichend zu prüfen respektive deren Vorliegen angemessen abzuklären.</w:t>
      </w:r>
    </w:p>
    <w:p>
      <w:r>
        <w:rPr>
          <w:b/>
        </w:rPr>
        <w:t>E. 7.5</w:t>
      </w:r>
    </w:p>
    <w:p>
      <w:r>
        <w:t>Gemäss Art. 61 Abs. 1 VwVG entscheidet das Bundesverwaltungsge- richt in der Sache selbst oder weist diese mit verbindlichen Weisungen an die Vorinstanz zurück. Eine reformatorische Entscheidung setzt voraus, dass die Sache entscheidreif ist; dazu muss insbesondere der rechtser- hebliche Sachverhalt richtig und vollständig festgestellt worden sein. Dies ist vorliegend nicht der Fall. Die in diesen Fällen fehlende Entscheidungs- reife kann grundsätzlich zwar auch durch das Gericht selbst hergestellt werden, wenn dies im Einzelfall aus prozessökonomischen Gründen ange- bracht erscheint (vgl. BVGE 2012/21 E. 5). Es kann und soll aber die Grundlagen des rechtserheblichen Sachverhalts nicht gleichsam an Stelle der verfügenden Verwaltungsbehörde erheben, zumal die Partei bei einem solchen Vorgehen eine Instanz verlieren würde. Vorliegend fällt offensicht- lich weder eine Herstellung der Entscheidreife durch das Gericht noch eine Heilung der Verfahrensmängel in Betracht. Die angefochtene Verfügung leidet an schwerwiegenden Mängeln und ist aufzuheben. Die Sache ist zur Abklärung und Feststellung des richtigen und vollständigen Sachverhalts (insbesondere hinsichtlich der geltend gemachten Beschneidung der Be- schwerdeführerin sowie der Inanspruchnahme von Schutz durch männli- che Familienmitglieder oder Clan-Strukturen) und zu neuer Entscheidung unter Berücksichtigung der Risikofaktoren gemäss BVGE 2014/27 an die Vorinstanz zurückzuweisen. Mit Blick auf ihre Mitwirkungspflicht im Asyl- verfahren (Art. 8 AsylG) obliegt es der Beschwerdeführerin, im Rahmen des wiederaufzunehmenden Verfahrens allfällige Beweismittel einzu- reichen.</w:t>
      </w:r>
    </w:p>
    <w:p>
      <w:r>
        <w:rPr>
          <w:b/>
        </w:rPr>
        <w:t>E. 7.6</w:t>
      </w:r>
    </w:p>
    <w:p>
      <w:r>
        <w:t>Angesichts dieses Verfahrensausgangs erübrigt sich eine Auseinan- dersetzung mit weiteren Vorbringen in der Beschwerde; diese bildet integ- ralen Bestandteil des wiederaufzunehmenden erstinstanzlichen Verfah- rens und wird vom SEM mitzuberücksichtigen sein.</w:t>
      </w:r>
    </w:p>
    <w:p>
      <w:r>
        <w:rPr>
          <w:b/>
        </w:rPr>
        <w:t>E. 8</w:t>
      </w:r>
    </w:p>
    <w:p>
      <w:r>
        <w:t>Nach dem Gesagten ist die Beschwerde insofern gutzuheissen, als die an- gefochtene Verfügung vom 24. April 2025 in den Dispositivziffern 1-3</w:t>
      </w:r>
    </w:p>
    <w:p>
      <w:r>
        <w:t>E-3159/2025 Seite 10 aufzuheben und die Sache im Sinne der Erwägungen an die Vorinstanz zurückzuweisen ist.</w:t>
      </w:r>
    </w:p>
    <w:p>
      <w:r>
        <w:rPr>
          <w:b/>
        </w:rPr>
        <w:t>E. 9</w:t>
      </w:r>
    </w:p>
    <w:p>
      <w:r>
        <w:t>Bei diesem Ausgang des Verfahrens sind keine Kosten zu erheben (Art. 63 Abs. 1 und 2 VwVG). Das von der Beschwerdeführerin gestellte Gesuch um unentgeltliche Prozessführung unter Verzicht auf die Erhebung eines Kostenvorschusses erweist sich als gegenstandslos.</w:t>
      </w:r>
    </w:p>
    <w:p>
      <w:r>
        <w:rPr>
          <w:b/>
        </w:rPr>
        <w:t>E. 10</w:t>
      </w:r>
    </w:p>
    <w:p>
      <w:r>
        <w:t>Der vertretenen Beschwerdeführerin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E-3159/2025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