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E-3159/2014 vom 3. Juli 2014</w:t>
      </w:r>
    </w:p>
    <w:p>
      <w:r>
        <w:t>Bundesverwaltungsgericht, 2014-07-03, DE</w:t>
      </w:r>
    </w:p>
    <w:p>
      <w:r>
        <w:rPr>
          <w:b/>
        </w:rPr>
        <w:t xml:space="preserve">Quelle: </w:t>
      </w:r>
      <w:r>
        <w:t>https://mcp.opencaselaw.ch/entscheid/bvger_E-3159_2014</w:t>
      </w:r>
    </w:p>
    <w:p>
      <w:r>
        <w:t>FR: TAF E-3159/2014 du 3 juillet 2014</w:t>
      </w:r>
    </w:p>
    <w:p>
      <w:r>
        <w:t>IT: TAF E-3159/2014 del 3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Abs. 1 und 108 Abs. 1 AsylG; Art. 48 Abs. 1 sowie Art. 52 Abs. 1 VwVG). Auf die Beschwerde ist einzutreten.</w:t>
      </w:r>
    </w:p>
    <w:p>
      <w:r>
        <w:rPr>
          <w:b/>
        </w:rPr>
        <w:t>E. 2</w:t>
      </w:r>
    </w:p>
    <w:p>
      <w:r>
        <w:t>Die Kognition des Bundesverwaltungsgerichts und die zulässigen Rügen richten sich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Gesuch um Verzicht auf die Erhebung eines Kostenvorschusses wird mit dem vorliegenden Entscheid in der Sache obsolet.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Bundesamt begründet die Ablehnung des Asylgesuches im Wesentlichen damit, dass die Vorbringen des Beschwerdeführers nicht als glaubhaft zu erachten seien, namentlich seien seine Aussagen widersprüchlich, der allgemeinen Erfahrung oder der Logik des Handelns widersprechend sowie teilweise nachgeschoben.</w:t>
      </w:r>
    </w:p>
    <w:p>
      <w:r>
        <w:rPr>
          <w:b/>
        </w:rPr>
        <w:t>E. 6.2</w:t>
      </w:r>
    </w:p>
    <w:p>
      <w:r>
        <w:t>Soweit der Beschwerdeführer geltend macht, er habe in der BzP nicht alle seine Asylgründe darlegen können, ergibt sich zwar aus den Akten, dass es sich bei der Erstbefragung aufgrund hoher Belegungszahlen damals im EVZ um eine verkürzte Befragung gehandelt hat (vgl. Akten BFM, A10/1). Ein Blick in das Protokoll der BzP lässt aber den Schluss nicht zu, das Vorbringen des Beschwerdeführers sei tatsächlich berechtigt, wurde ihm doch Gelegenheit gegeben, seine Gesuchsgründe in freier Erzählung darzulegen, was er auch tat (vgl. A7/11, S. 8, 7.01). Anschliessend wurden ihm einige Rückfragen zu den Gesuchsgründen gestellt und schliesslich wurde er noch gefragt, ob er sonst noch Gründe habe, was er verneinte (vgl. A7/11, S. 8f., 7.02 und 7.03). Die auf Beschwerdestufe gemachten Einwände finden demgegenüber keinerlei Rückhalt im Protokoll und es sind im Übrigen auch keinerlei Hinweise ersichtlich, wonach der Sachverhalt nicht vollständig erstellt wäre. Nach dem Gesagten ist nicht zu beanstanden, dass das BFM in seiner Verfügung die Aussagen bei der BzP mit jenen in der Anhörung miteinander vergleicht.</w:t>
      </w:r>
    </w:p>
    <w:p>
      <w:r>
        <w:rPr>
          <w:b/>
        </w:rPr>
        <w:t>E. 6.3</w:t>
      </w:r>
    </w:p>
    <w:p>
      <w:r>
        <w:t>Das Bundesverwaltungsgericht kommt zum Schluss, dass die Vorinstanz die Verfolgungsvorbringen des Beschwerdeführers zu Recht als unglaubhaft beurteilt hat. So zeigt das BFM zutreffend auf, inwiefern die Aussagen des Beschwerdeführers in mehreren Punkten, teilweise sogar massiv, widersprüchlich ausgefallen und insgesamt schwer miteinander in Übereinstimmung zu bringen sind. Dies trifft nicht nur auf die vom BFM zahlreich dargelegten Widersprüche zu, welche sich zwischen den Aussagen bei der BzP einerseits sowie der Anhörung andererseits ergaben, sondern der Beschwerdeführer widerspricht sich auch des Mehrfachen im Verlaufe der Anhörung selbst. Ein unauflösbarer Widerspruch in einem zentralen Punkt der Asylbegründung besteht etwa, wenn er erst ausführt, er habe ein paar Tage nach dem Zwischenfall mit dem Bruder von C._______, von einem Cousin väterlicherseits erfahren, dass dieser durch den Schlag mit der Metallstange nun halbseitig gelähmt sei (vgl. A23/25, S. 9) und später angibt, seine Schüler hätten ihm das erzählt (vgl. A23/25, S. 17). Noch später, liess er festhalten, er habe erst in Griechenland erfahren, dass der Bruder von C._______ im Spital sei (vgl. A23/25, S. 20). Das Gericht geht sodann mit der Vorinstanz einig, dass es sich bei dem Vorbringen, C._______ habe nach dem erwähnten Vorfall eine Person beauftragt, den Beschwerdeführer umbringen zu lassen, um ein wichtiges und entscheidendes Element in den Asylvorbringen handelt, weshalb schwer nachvollziehbar ist, dass er es bei der BzP überhaupt nicht erwähnt hat. Darüber hinaus verstrickt sich der Beschwerdeführer im Verlaufe der Anhörung auch diesbezüglich. Erst gab er nämlich zu Protokoll, dass nach dem Vorfall keine Woche vergangen sei, bis der zum Töten beauftragte D._______ bei ihm vorbeigekommen sei und ihm geraten habe B._______ sofort zu verlassen, was er daraufhin auch getan habe (vgl. A23/25, S. 10). Später in der Anhörung dagegen, will der Beschwerdeführer diesem D._______ erst in der Provinz E._______ begegnet sein, nachdem er B._______ bereits verlassen habe (vgl. A23/25, S. 18). Diese Aussagen stehen sich diametral entgegen und lassen die Vorbringen des Beschwerdeführers insgesamt als äusserst zweifelhaft erscheinen. In der Rechtsmitteleingabe beschränkt sich der Beschwerdeführer sodann im Wesentlichen auf Wiederholungen seiner Behauptungen und vermag damit den Vorhalten des BFM nichts Substantielles entgegenzuhalten. Es erübrigt sich, auf weitere Unstimmigkeiten in den Vorbringen des Beschwerdeführers einzugehen, vielmehr kann ergänzend auf die zutreffenden und ausführlichen Erwägungen in der angefochtenen Verfügung verwiesen werden.</w:t>
      </w:r>
    </w:p>
    <w:p>
      <w:r>
        <w:rPr>
          <w:b/>
        </w:rPr>
        <w:t>E. 6.4</w:t>
      </w:r>
    </w:p>
    <w:p>
      <w:r>
        <w:t>Zusammenfassend ist es dem Beschwerdeführer nicht gelungen, seine Flüchtlingseigenschaft nachzuweisen oder glaubhaft zu machen. Das BFM hat sein Asylgesuch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10.1, mit weiteren Hinweisen).</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wenn Afghanistan diesbezüglich mit grossen Herausforderungen konfrontiert ist, lässt die allgemeine Menschenrechtssituation dort für sich alleine den Wegweisungsvollzug zum heutigen Zeitpunkt nicht als unzulässig erscheinen. Nach dem Gesagten ist der Vollzug der Wegweisung sowohl im Sinne der asyl- als auch der völkerrechtlichen Bestimmungen zulässig.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Das Bundesverwaltungsgericht hat sich in Hinblick auf allfällige Unzumutbarkeitskriterien zuletzt in BVGE 2011/7 mit einer ausführlichen Analyse zur Lage in Afghanistan und insbesondere in Kabul geäussert. Dabei hat es festgestellt, dass der Vollzug der Wegweisung in weite Gebiete Afghanistans unzumutbar, demgegenüber nach Kabul unter Umständen als zumutbar qualifiziert werden kann, wobei aufgrund der schwierigen humanitären und wirtschaftlichen Situation eine sorgfältige Prüfung restriktiver, individueller Kriterien - namentlich in Bezug auf ein tragfähiges Beziehungsnetz, die Sicherung des Existenzminimums und die Wohnsituation - vorzunehmen ist (vgl. BVGE 2011/7 E. 2 ff. mit Hinweisen auf EMARK 2006/9 bzw. EMARK 2003/10). Beim Beschwerdeführer handelt es sich um einen jungen Mann, der mit einem Abiturabschluss sowie im F._______ abgeschlossener (...) vergleichsweise gut gebildet ist. Nach eigenen Angaben sei er darüber hinaus (...), (...) und (...) und habe in B._______ weder finanzielle noch Arbeitsprobleme gehabt (vgl. A23/25, S. 21); das Kleiderhandel-Geschäft, das er mit seinem Partner nach wie vor führe, finanziere auch seine in B._______ lebende Familie. Darüber hinaus scheint er in Afghanistan über beträchtliche finanzielle Mittel zu verfügen, jedenfalls bis zu seiner Ausreise. Neben seiner Frau und seiner Tochter leben auch seine Mutter, ein Bruder und eine Schwester sowie mehrere seiner Onkel und Tanten in B._______ und damit verfügt er zweifellos über ein tragfähiges soziales Netz. Nachdem die Familie in einem grossen Haus (nach Angaben des Beschwerdeführers sei es eine "Villa") lebt (vgl. A23/25, S. 7), ist bereits gesagt, dass auch in Bezug auf seine Unterkunft offensichtlich begünstigende Umstände vorhanden sind. Was schliesslich die geltend gemachte Hautkrankheit (vgl. A23/25, S. 2f.) betrifft, handelt es sich dabei offensichtlich nicht um im Hinblick auf die Zumutbarkeit des Wegweisungsvollzugs relevante Umstände. Insgesamt ist davon auszugehen, dass in Bezug auf den Beschwerdeführer individuelle begünstigende Kriterien im Sinne der zitierten Rechtsprechung gegeben sind. Damit erweist sich der Vollzug der Wegweisung nach B._______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