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E-3154/2018 vom 21. Juni 2018</w:t>
      </w:r>
    </w:p>
    <w:p>
      <w:r>
        <w:t>Bundesverwaltungsgericht, 2018-06-21, DE</w:t>
      </w:r>
    </w:p>
    <w:p>
      <w:r>
        <w:rPr>
          <w:b/>
        </w:rPr>
        <w:t xml:space="preserve">Quelle: </w:t>
      </w:r>
      <w:r>
        <w:t>https://mcp.opencaselaw.ch/entscheid/bvger_E-3154_2018</w:t>
      </w:r>
    </w:p>
    <w:p>
      <w:r>
        <w:t>FR: TAF E-3154/2018 du 21 juin 2018</w:t>
      </w:r>
    </w:p>
    <w:p>
      <w:r>
        <w:t>IT: TAF E-3154/2018 del 21 giugno 2018</w:t>
      </w:r>
    </w:p>
    <w:p>
      <w:pPr>
        <w:pStyle w:val="Heading2"/>
      </w:pPr>
      <w:r>
        <w:t>Regeste</w:t>
      </w:r>
    </w:p>
    <w:p>
      <w:r>
        <w:t>Asylverfahren (Übriges)</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einzutreten.</w:t>
      </w:r>
    </w:p>
    <w:p>
      <w:r>
        <w:rPr>
          <w:b/>
        </w:rPr>
        <w:t>E. 2.1</w:t>
      </w:r>
    </w:p>
    <w:p>
      <w:r>
        <w:t>Die Beschwerde richtet sich gegen eine Verfügung des SEM, mit der festgestellt wird, dass die Zuständigkeit zur Durchführung des Asyl- und Wegweisungsverfahrens nicht auf die Schweiz übergegangen sei und die Überstellungsfrist in die Niederlande bis 14. März 2019 bestehe. Zwischen den Parteien ist umstritten, ob die Schweiz infolge einer Fristüberschreitung zur Durchführung des Asylverfahrens zuständig geworden ist. Auf darüber hinaus gehende Fragen der Zuständigkeit ist vorliegend nicht einzugehen, zumal alle entsprechenden Verfügungen der Vorinstanz unangefochten in Rechtskraft erwachsen sind und vorliegend ausschliesslich die Feststellungsverfügung der Vorinstanz angefochten wird.</w:t>
      </w:r>
    </w:p>
    <w:p>
      <w:r>
        <w:rPr>
          <w:b/>
        </w:rPr>
        <w:t>E. 3.1</w:t>
      </w:r>
    </w:p>
    <w:p>
      <w:r>
        <w:t>Die Vorinstanz kommt in der angefochtenen Verfügung im Wesentlichen zum Schluss, die Zuständigkeit zur Prüfung des Asylgesuchs sei nicht auf die Schweiz übergegangen. So sei die Überstellungsfrist in die Niederlande gemäss Art. 29 Abs. 2 Dublin-III-VO auf 18 Monate bis 14. März 2019 verlängert worden, weil die Beschwerdeführer ab 5. Januar 2018 nicht effektiv erreichbar gewesen seien.</w:t>
      </w:r>
    </w:p>
    <w:p>
      <w:r>
        <w:rPr>
          <w:b/>
        </w:rPr>
        <w:t>E. 3.2</w:t>
      </w:r>
    </w:p>
    <w:p>
      <w:r>
        <w:t>Auf Beschwerdeebene wird dagegen im Wesentlichen vorgebracht, es treffe nicht zu, dass die Beschwerdeführer seit 5. Januar 2018 unbekannten Aufenthalts gewesen und im Sinne von Art. 29 Abs. 2 Dublin-III-VO untergetaucht seien. So sei die entsprechende Meldung auf ein Fehlverhalten der Heimleitung am Wohnort der Beschwerdeführer - den sie jeweils nur tagesweise verlassen und immer bei einem Bruder verbracht hätten - zurückzuführen. Die Heimleitung sei jedes Mal vorinformiert gewesen und im Falle einer verspäteten Rückkehr telefonisch informiert worden. Die Beschwerdeführer seien am 5. Januar 2018 wieder ins Asylheim zurückgekehrt. Im Übrigen würden die beiden Hospitalisierungen der Beschwerdeführerin 2 und die Zustellung der Einreiseverbote am 22. März 2018 zeigen, dass die Feststellung des Untertauchens willkürlich ausgefallen sei. Überhaupt habe die Vorinstanz die gesundheitlichen Probleme ignoriert.</w:t>
      </w:r>
    </w:p>
    <w:p>
      <w:r>
        <w:rPr>
          <w:b/>
        </w:rPr>
        <w:t>E. 4.1</w:t>
      </w:r>
    </w:p>
    <w:p>
      <w:r>
        <w:t>Vorab ist festzustellen, dass die Bestimmungen zur Überstellungsfrist in der Dublin-III-VO den Charakter von Normen haben, die "self-executing" sind (vgl. BVGE 2015/19). Die Beschwerdeführer können sich somit auf eine Verletzung der Bestimmung von Art. 29 Abs. 2 Dublin-III-VO berufen. 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 Unter den Begriff "flüchtig" sind alle Sachverhalte zu subsumieren, in denen die asylsuchende Person aus von ihr zu vertretenden Gründen für die Behörden des Staats, der die Überstellung durchführen will, nicht auffindbar ist oder sonst wie das Verfahren absichtlich behindert. Ist die Person einmal flüchtig, kann eine Verlängerung bis zur Maximalfrist erfolgen, unabhängig davon, ob sie wieder auftaucht (vgl. Christian Filzwieser/Andrea Sprung, Dublin III-Verordnung, Wien/Graz 2014, Art. 29 K12).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auszulegen, welcher der asylsuchenden Person eine Reihe von Mitwirkungspflichten auferlegt. So ist diese unter anderem verpflichtet, sich den Behörden von Bund und Kantonen zur Verfügung zu halten und ihre Adresse sowie jede Änderung der nach dem kantonalen Recht zuständigen Behörde des Kantons oder der Gemeinde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asylsuchende Person durchgehend unbekannten Aufenthalts oder lediglich vorübergehend nicht auffindbar gewesen ist, ist grundsätzlich ohne Relevanz. Nicht relevant ist grundsätzlich auch, ob andere als mit dem Vollzug direkt betraute Behörden Informationen über den Aufenthalt der betreffenden Person hatten. Ausschlaggebend ist die Pflicht der asylsuchenden Person, für die Behörden effektiv erreichbar zu sein und eine allfällige Abwesenheit den Behörden zu melden; insbesondere, wenn der unmittelbar bevorstehende Ablauf der Vollzugsfrist der betroffenen Person bekannt gewesen sein muss (vgl. Urteil des BVGer E-1668/2010 vom 14. Februar 2011).</w:t>
      </w:r>
    </w:p>
    <w:p>
      <w:r>
        <w:rPr>
          <w:b/>
        </w:rPr>
        <w:t>E. 4.2</w:t>
      </w:r>
    </w:p>
    <w:p>
      <w:r>
        <w:t>Aus den Akten ergibt sich, dass die Beschwerdeführer am 5. Januar 2018 unkontrolliert abgereist sind (Vollzugs- und Erledigungsmeldung des Kantons Basel Landschaft vom 8. Januar 2018). Die Vorinstanz hat daraufhin praxisgemäss die zuständigen Behörden um Verlängerung der Überstellungsfrist nach Art. 29 Abs. 2 Dublin-III-VO ersucht. Dass die niederländischen Behörden auf das Verlängerungsgesuch nicht reagiert haben, steht der Überstellung nicht entgegen, da von einer stillschweigenden Akzeptanz durch Verfristung auszugehen ist. Die Beschwerdeführer sind seit Beginn des Asylverfahrens darüber informiert, dass sie eine Mitwirkungspflicht im Verfahren trifft (insb. Art. 8 Abs. 3 Satz 1 AsylG). Die Beschwerdeführer galten gemäss Mitteilung des Kantons als am 5. Januar 2018 unkontrolliert abgereist. Die oberflächlichen Beschwerdeausführungen vermögen hieran und insbesondere an der Praxis der Migrationsbehörden - die der Vorinstanz als einzige Stelle solche Vorfälle melden - nichts zu ändern. Die Beschwerdeführer werfen der Heimleitung Fehlverhalten vor und behaupten, sie seien am 5. Januar 2018 zurückgekehrt. Die Bewilligung für den Urlaub sei jeweils eingeholt worden. Es gelingt ihnen indes nicht, entsprechende Bewilligungen vorzulegen. Solche sind auch nicht aktenkundig. Weiter führen sie aus, die Tatsache, dass die Beschwerdeführerin 2 hospitalisiert gewesen sei, spreche ebenfalls gegen eine unkontrollierte Abreise. Weder den einschlägigen Beschwerdebeilagen noch den Akten ist indes zu entnehmen, dass irgendjemand der Beschwerdeführer am 5. Januar 2018 hospitalisiert gewesen sein soll. Die ärztlichen Berichte belegen zwar, dass die Beschwerdeführerin 2 zu späteren Zeitpunkten in entsprechender Behandlung war. Das ist jedoch irrelevant in Bezug auf die Verlängerung der Überstellungsfrist, zumal es für die Feststellung ihrer "Flüchtigkeit" unerheblich ist, ob eine Person durchgehend unbekannten Aufenthalts war oder lediglich vorübergehend. Die Zustellung des Einreiseverbots vom 22. März 2018 lässt keinen anderen Schluss zu. Die Erklärung betreffend den Bruder lässt sodann darauf schliessen, dass die Beschwerdeführer tatsächlich - wenn auch nur wenige Tage - unbekannten Aufenthalts waren, was korrekterweise zur Verlängerung der Überstellungsfrist der Vorinstanz geführt hat. Die pauschal getätigten Rügen - beispielsweise die Vorinstanz habe "mit verdeckten Karten gespielt" oder ihre "Salamitaktik" stelle eine Verletzung des rechtlichen Gehörs sowie des Prinzips der Parteiöffentlichkeit dar - gehen ins Leere. Die Vorinstanz hat die Akteneinsicht zutreffend im beantragten Rahmen gewährt. Gehörsverletzungen oder andere formelle Fehler sind nicht ersichtlich. Der Vorwurf, die Vorinstanz und der Kanton hätten zeitweise versucht, die Verantwortung jeweils der anderen Behörde zuzuschieben, findet keinen Rückhalt in den Akten. Dass die Vorinstanz die medizinischen Gegebenheiten nicht "ignoriert", zeigt bereits die Tatsache, dass ein geplanter Flug (Flug vom 8. November 2017) aufgrund medizinischer Gründe annulliert wurde (SEM-Akten, Dublin-Out). Schliesslich können die Beschwerdeführer aufgrund der Dauer des Verfahrens nichts zu ihren Gunsten ableiten. Die Überstellungsfrist ist nach dem Gesagten nicht abgelaufen.</w:t>
      </w:r>
    </w:p>
    <w:p>
      <w:r>
        <w:rPr>
          <w:b/>
        </w:rPr>
        <w:t>E. 5</w:t>
      </w:r>
    </w:p>
    <w:p>
      <w:r>
        <w:t>Folglich ist die vorinstanzliche Verfügung zu bestätigen und die Beschwerde abzuweisen. Mit dem vorliegenden Urteil ist das Gesuch um Gewährung der aufschiebenden Wirkung gegenstandslos geworden.</w:t>
      </w:r>
    </w:p>
    <w:p>
      <w:r>
        <w:rPr>
          <w:b/>
        </w:rPr>
        <w:t>E. 6.1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6.2</w:t>
      </w:r>
    </w:p>
    <w:p>
      <w:r>
        <w:t>Bei diesem Ausgang des Verfahrens sind die Kosten von Fr. 750.- (Art. 1-3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