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E-3148/2024 vom 8. Juli 2024</w:t>
      </w:r>
    </w:p>
    <w:p>
      <w:r>
        <w:t>Bundesverwaltungsgericht, 2024-07-08, DE</w:t>
      </w:r>
    </w:p>
    <w:p>
      <w:r>
        <w:rPr>
          <w:b/>
        </w:rPr>
        <w:t xml:space="preserve">Quelle: </w:t>
      </w:r>
      <w:r>
        <w:t>https://mcp.opencaselaw.ch/entscheid/bvger_E-3148_2024</w:t>
      </w:r>
    </w:p>
    <w:p>
      <w:r>
        <w:t>FR: TAF E-3148/2024 du 8 juillet 2024</w:t>
      </w:r>
    </w:p>
    <w:p>
      <w:r>
        <w:t>IT: TAF E-3148/2024 del 8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w:t>
      </w:r>
    </w:p>
    <w:p>
      <w:r>
        <w:t>E-3148/2024 Seite 5 schwerde ist – unter den nachfolgenden Vorbehalten in E. 1.3.2 und E. 1.3.3 – einzutreten.</w:t>
      </w:r>
    </w:p>
    <w:p>
      <w:r>
        <w:rPr>
          <w:b/>
        </w:rPr>
        <w:t>E. 1.3.2</w:t>
      </w:r>
    </w:p>
    <w:p>
      <w:r>
        <w:t>Der vorliegend zu beurteilenden Beschwerde kommt von Gesetzes wegen aufschiebende Wirkung zu (Art. 55 Abs. 1 VwVG) und das SEM hat diese in der angefochtenen Verfügung auch nicht entzogen (Art. 55 Abs. 2 VwVG). Folglich ist auf den Antrag auf Herstellung der aufschiebenden Wir- kung nicht einzutreten.</w:t>
      </w:r>
    </w:p>
    <w:p>
      <w:r>
        <w:rPr>
          <w:b/>
        </w:rPr>
        <w:t>E. 1.3.3</w:t>
      </w:r>
    </w:p>
    <w:p>
      <w:r>
        <w:t>Auf das in der Beschwerdebegründung sinngemäss gestellte Gesuch um Härtefallbewilligung (vgl. Beschwerde Ziff. II [S. 4] und Ziff. III [recte: Ziff. IV {S. 7 f.}]) ist mangels Zuständigkeit des Bundesverwaltungsgerichts ebenfalls nicht einzutreten (vgl. betreffend Härtefallgesuch Art. 30 Abs. 1 Bst. b und Art. 40 AIG [SR 142.20] resp. Art. 14 AsylG i.V.m. Art. 31 und Art. 85 der Verordnung über Zulassung, Aufenthalt und Erwerbstätigkeit [VZAE, SR 142.201]).</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einen Schriftenwechsel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E-3148/2024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aufgrund des En- gagements des Beschwerdeführers für die DEM Parti könne zwar nicht ausgeschlossen werden, dass es zu kurzfristigen Mitnahmen und Behelli- gungen durch die türkischen Behörden gekommen sei. Indes genügten die vorgebrachten niederschwelligen Tätigkeiten des Beschwerdeführers für die genannte Partei nicht, um von einem ernsthaften, asylrelevanten Ver- folgungsinteresse der türkischen Behörden an ihm auszugehen. Weil der Beschwerdeführer in den Sozialen Medien ferner nicht mehr aktiv sei, ge- gen ihn nie ein Strafverfahren eingeleitet worden sei und er auch hinsicht- lich der Aktivitäten seines Bruders K._______ für die PKK keine Probleme geltend gemacht habe, bestünden zum jetzigen Zeitpunkt keine stichhalti- gen Anhaltspunkte dafür, dass er in absehbarer Zeit einer flüchtlingsrecht- lich relevanten Verfolgung ausgesetzt sei. Entsprechend habe der Be- schwerdeführer denn auch vorgebracht, dass er seinen Heimatstaat we- gen der Probleme seiner Kinder in der Schweiz verlassen habe. Daher sei auch kein sachlicher – und im Übrigen auch kein zeitlicher – Kausalzusam- menhang zwischen seinen politisch begründeten Problemen und seiner Ausreise ersichtlich. Sodann handle es sich bei den Folgen des Erdbe- bens, welches seinen Heimatort zerstört habe und die gesamte dort ansäs- sige Bevölkerung betreffe, nicht um flüchtlingsrechtlich relevante Vorbrin- gen. Zusammenfassend genügten die Vorbringen des Beschwerdeführers den Anforderungen an die Flüchtlingseigenschaft gemäss Art. 3 AsylG nicht.</w:t>
      </w:r>
    </w:p>
    <w:p>
      <w:r>
        <w:rPr>
          <w:b/>
        </w:rPr>
        <w:t>E. 5.2</w:t>
      </w:r>
    </w:p>
    <w:p>
      <w:r>
        <w:t>Hiergegen wandte der Beschwerdeführer in seiner Beschwerde ein, die Unterdrückung der Aleviten und der Kurden sei in der internationalen Rechtsprechung bestätigt worden. So habe auch der Beschwerdeführer schon sein Leben lang unter den behördlichen Diskriminierungen gelitten; dies habe sich seit dem Erbeben im Februar 2023 intensiviert. Ausserdem sei er als aktives Mitglied der DEM Parti immer wieder kurzfristig festge- halten und misshandelt worden. Ein solches Vorgehen seitens der Behör- den könne auch künftig nicht ausgeschlossen werden, wie auch bezüglich</w:t>
      </w:r>
    </w:p>
    <w:p>
      <w:r>
        <w:t>E-3148/2024 Seite 7 Mitgliedern anderer pro-kurdischer Parteien wie beispielsweise der HDP (Halkların Demokratik Partisi) beobachten werden könne.</w:t>
      </w:r>
    </w:p>
    <w:p>
      <w:r>
        <w:rPr>
          <w:b/>
        </w:rPr>
        <w:t>E. 6.1</w:t>
      </w:r>
    </w:p>
    <w:p>
      <w:r>
        <w:t>Das Bundesverwaltungsgericht gelangt nach Prüfung der Akten zum Schluss, dass das SEM zutreffend festgehalten hat, die Vorbringen des Beschwerdeführers genügten den Anforderungen an die Flüchtlingseigen- schaft im Sinne von Art. 3 AsylG nicht. Die Rechtsmitteleingabe hält dem nichts Stichhaltiges entgegen. Der Beschwerdeführer beschränkt sich da- rin grösstenteils darauf, den aktenkundigen Sachverhalt zu wiederholen.</w:t>
      </w:r>
    </w:p>
    <w:p>
      <w:r>
        <w:rPr>
          <w:b/>
        </w:rPr>
        <w:t>E. 6.2</w:t>
      </w:r>
    </w:p>
    <w:p>
      <w:r>
        <w:t>Entgegen den Behauptungen in der Beschwerdeschrift ist das politi- sche Profil des Beschwerdeführers als niederschwellig zu bezeichnen. Ob- wohl er seit dem Jahr 2000 ein aktives Mitglied bei der DEM Parti (resp. der früheren HEDEP) gewesen sei und an deren Kundgebungen und Ver- sammlungen teilgenommen habe (A17 F92 ff.), sei er seinen Schilderun- gen anlässlich der Anhörung zufolge im Wesentlichen lediglich zwei Mal – einmal ein paar Tage vor dem Erdbeben, das andere Mal nach dem Erd- beben (A17 F67 ff. und 75 ff.) – von Gendarmen für (…) Stunden mitge- nommen und geschlagen worden (A17 F64). Diesen Festnahmen sind mangels Intensität für sich genommen nicht asylrelevant; ausserdem lässt sich aus ihnen noch kein gezieltes Verfolgungsinteresse der türkischen Be- hörden am Beschwerdeführer herleiten. Gegen den Beschwerdeführer wurde aufgrund seines politischen Engagements bislang auch noch nie ein Strafverfahren eingeleitet (A17 F104) und seine Accounts auf Social Media habe er geschlossen (A17 F105). Auch machte er keine aktuelle asylrele- vante Reflexverfolgung wegen der früheren Zugehörigkeit seines Bruders zur PKK geltend (A17 F68 ff.). Es bestehen somit keine Anhaltspunkte da- für, dass der Beschwerdeführer im Zusammenhang mit seinen eigenen po- litischen Aktivitäten respektive den politischen Aktivitäten seiner Familien- mitglieder ins Visier der heimatlichen Behörden gelangt wäre respektive deren Interesse geweckt hätte und deswegen künftig mit einer asylbeacht- lichen Verfolgung rechnen müsste.</w:t>
      </w:r>
    </w:p>
    <w:p>
      <w:r>
        <w:rPr>
          <w:b/>
        </w:rPr>
        <w:t>E. 6.3</w:t>
      </w:r>
    </w:p>
    <w:p>
      <w:r>
        <w:t>Soweit der Beschwerdeführer geltend macht, als kurdischer Alevit wie- derholt Benachteiligungen im Alltag ausgesetzt gewesen zu sein, ist in Übereinstimmung mit dem SEM festzuhalten, dass die geschilderten Prob- leme – ohne diese zu negieren oder bagatellisieren – in ihrer Intensität nicht über die Nachteile hinausgehen, welche weite Teile der kurdischen und alevitischen Bevölkerung in der Türkei in ähnlicher Weise treffen und gemäss gefestigter Praxis für sich allein nicht zur Anerkennung der</w:t>
      </w:r>
    </w:p>
    <w:p>
      <w:r>
        <w:t>E-3148/2024 Seite 8 Flüchtlingseigenschaft führen (vgl. etwa Urteil BVGer E-182/2021 vom 30. April 2024 E. 6.1). Im Übrigen gelten für die Annahme einer Kollektiv- verfolgung praxisgemäss sehr hohe Anforderungen (vgl. BVGE 2014/32 E. 7.2 und 2013/21 E. 9.1), welche im Falle der Kurden und Aleviten in der Türkei nicht erfüllt sind; dies auch unter Berücksichtigung der jüngsten po- litischen Entwicklungen im Land (vgl. statt vieler Urteile BVGer E-182/2021 vom 30. April 2024 E. 6.1; D-5067/2023 vom 29. April 2024 E. 7.4; E- 445/2024 vom 4. April 2024 E. 6.3 und E-90/2023 vom 14. März 2023 E. 7.4). Dabei wurde auch die vom Beschwerdeführer vorgebrachte Recht- sprechung des Europäischen Gerichtshofs für Menschenrechte (EGMR) beachtet (vgl. Urteil BVGer E-5075/2017 vom 22. Januar 2018 E. 7.2).</w:t>
      </w:r>
    </w:p>
    <w:p>
      <w:r>
        <w:rPr>
          <w:b/>
        </w:rPr>
        <w:t>E. 6.4</w:t>
      </w:r>
    </w:p>
    <w:p>
      <w:r>
        <w:t>Das SEM hat demzufolge die Flüchtlingseigenschaft des Beschwerde- führers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nicht über eine ausländerrechtliche Auf- enthaltsbewilligung. Soweit er mit dem Vorbringen, seine Ex-Frau sei mit den psychischen Beschwerden seines Sohnes C._______ überfordert, weshalb seine Kinder auf seine Anwesenheit in der Schweiz angewiesen seien (A17 F14, 101 ff., 110 und 149; vgl. Beschwerde Ziff. III [recte: Ziff. IV {S. 8}]), einen Anspruch auf eine Aufenthaltsbewilligung gestützt auf den Grundsatz der Einheit der Familie (resp. Familienleben i.S.v. Art. 8 EMRK) geltend macht, gelangt das Gericht zum Schluss, dass es ihm nicht gelingt, eine nahe, echte und tatsächlich gelebte familiäre Beziehung zu seiner er- neut verheirateten und zwischenzeitlich wieder geschiedenen Ex-Frau und den gemeinsamen Kindern, welche schon seit 2016 in der Schweiz wohn- haft sind (A17 F21 ff. und 125), darzulegen (A17 F52 f.). Folglich kann er keine Ansprüche aus Art. 8 EMRK ableiten. Auch sonst ist keine An- spruchsgrundlage für eine Aufenthaltsbewilligung ersichtlich.</w:t>
      </w:r>
    </w:p>
    <w:p>
      <w:r>
        <w:rPr>
          <w:b/>
        </w:rPr>
        <w:t>E. 7.3</w:t>
      </w:r>
    </w:p>
    <w:p>
      <w:r>
        <w:t>Die Wegweisung wurde demnach ebenfalls zu Recht angeordnet (vgl. BVGE 2013/37 E. 4.4 und 2009/50 E. 9, je m.w.H.).</w:t>
      </w:r>
    </w:p>
    <w:p>
      <w:r>
        <w:t>E-3148/2024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w:t>
      </w:r>
    </w:p>
    <w:p>
      <w:r>
        <w:t>E-3148/2024 Seite 10 Ausschaffung in den Heimatstaat dort mit beachtlicher Wahrscheinlichkeit einer nach Art. 3 EMRK oder Art. 1 FoK verbotenen Strafe oder Behand- lung ausgesetzt wäre. Gemäss Praxis EGMR sowie jener des UN-Anti- Folterausschusses müsste der Beschwerdeführer eine konkrete Gefahr («real risk») nachweisen oder glaubhaft machen, dass ihm im Fall einer Rückschiebung Folter oder unmenschliche Behandlung drohen würde (vgl. Urteil EGMR Saadi gegen Italien 28. Februar 2008, Grosse Kammer 37201/06, § 124 ff. m.w.H.). Nach den vorstehenden Ausführungen gelingt ihm das nicht. Auch die allgemeine Menschenrechtssituation im Heimat- staat lässt den Wegweisungsvollzug zum heutigen Zeitpunkt nicht als un- 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Ausnahme der Provinzen Hakkâri und Şırnak [vgl. dazu BVGE 2013/2 E. 9.6]) auszugehen (vgl. statt vieler Urteil BVGer E-5566/2020 vom 30. August 2023 E. 10.4.1 sowie das Referenzurteil BVGer E-1948/2018 vom 12. Juni 2018 E. 7.3.1, je m.w.H.).</w:t>
      </w:r>
    </w:p>
    <w:p>
      <w:r>
        <w:rPr>
          <w:b/>
        </w:rPr>
        <w:t>E. 8.3.3</w:t>
      </w:r>
    </w:p>
    <w:p>
      <w:r>
        <w:t>Hinsichtlich der Unzumutbarkeit des Wegweisungsvollzugs brachte der Beschwerdeführer in seiner Beschwerde im Wesentlichen vor, er stamme nicht nur aus dem Erdbebengebiet, sondern sei auch ein Kurde und gehöre der alevitischen Glaubensgemeinschaft an. Er habe sein Hab und Gut verloren und könne weder für seinen Lebensunterhalt aufkommen noch erhalte er staatliche Unterstützung. Viele Freunde und Bekannte seien aus der Region weggezogen, sodass er dort über kein soziales</w:t>
      </w:r>
    </w:p>
    <w:p>
      <w:r>
        <w:t>E-3148/2024 Seite 11 Beziehungsnetz mehr verfüge. Auch ein Leben in Istanbul sei für ihn nicht zumutbar, da er die türkische Sprache nicht perfekt beherrsche und auf- grund seines Aussehens, das seine Ethnie und Religionszugehörigkeit er- kennbar mache, stets mit erheblichen Schwierigkeiten konfrontiert sei. Der Beschwerdeführer stammt aus der Provinz Kahramanmaraş, welche vom Erbeben im Februar 2023 stark betroffen war. Das Bundesverwal- tungsgericht hat sich in seinem Referenzurteil E-1308/2023 vom 19. März 2024 einlässlich mit der Situation im Erdbebengebiet auseinandergesetzt. Dabei ist es zum Schluss gekommen, der Vollzug der Wegweisung in die betroffenen Regionen sei nicht generell unzumutbar. Vielmehr sei die indi- viduelle Situation der Asylsuchenden im Einzelfall zu prüfen, wobei der Lage von vulnerablen Personen gebührend Rechnung zu tragen sei (vgl. a.a.O., E. 11.2 f.). Der Beschwerdeführer ist abgesehen von (…)schmerzen, die erstmals in der Schweiz auftraten (A17 F4 ff. und 133 f.), ein gesunder Mann, der über Arbeitserfahrung in verschiedenen Bereichen verfügt und für seinen Le- bensunterhalt stets selbst aufkommen konnte (A17 F31, 65 und 113). Zu- dem leben in der Türkei neben seinem Vater und seinen Geschwistern auch verschiedene weitere Verwandte (A17 F111, 136 und 139). Eine Schwester (M._______) und seine Nichten leben ausserdem in Istanbul (A17 F39 und 139), wo auch er vor seiner Ausreise mit Hilfe eines Freun- des eine Unterkunft und Arbeit gefunden hat (A17 F16 und 146 ff.). Sein Argument, er könne nicht einfach nach Istanbul gehen und seinen Vater und seine Sachen in F._______ zurücklassen (A17 F36 f.), vermag ange- sichts seiner Ausreise aus der Türkei nicht zu überzeugen. Sodann stellt der Umstand, dass er die türkische Sprache nicht perfekt beherrsche, zwar ein Erschwernis jedoch letztlich kein Hindernis dar, sich in Istanbul um eine Bleibe und um Arbeit zu bemühen. Nach dem Gesagten kann sich der Be- schwerdeführer in der Türkei auf ein intaktes Beziehungsnetz berufen, wel- ches ihn bei Bedarf unterstützen kann. Da sich aus den Akten auch keine Hinweise auf eine Vulnerabilität ergeben, ist davon auszugehen, dass der grundsätzlich gesunde Beschwerdeführer sich in der Türkei wieder wird eingliedern und erneut eine Erwerbstätigkeit wird aufnehmen können. Im Übrigen steht es ihm offen, bei den zuständigen Behörden ein Gesuch um Rückkehrhilfe zu stellen (vgl. Art. 93 Abs. 1 Bst. d AsylG, Art. 75 der Asyl- verordnung 2 über Finanzierungsfragen vom 11. August 1999 [AsylV 2, SR 142.312]).</w:t>
      </w:r>
    </w:p>
    <w:p>
      <w:r>
        <w:t>E-3148/2024 Seite 12</w:t>
      </w:r>
    </w:p>
    <w:p>
      <w:r>
        <w:rPr>
          <w:b/>
        </w:rPr>
        <w:t>E. 8.3.4</w:t>
      </w:r>
    </w:p>
    <w:p>
      <w:r>
        <w:t>Insgesamt erweist sich der Vollzug der Wegweisung daher als zumut- bar.</w:t>
      </w:r>
    </w:p>
    <w:p>
      <w:r>
        <w:rPr>
          <w:b/>
        </w:rPr>
        <w:t>E. 8.3.5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beantragte die Gewährung der unentgeltlichen Rechtspflege, inklusive Verbeiständung. Da sich seine Begehren von vor- neherein als aussichtslos erwiesen haben, ist eine der kumulativ zu erfül- lenden Voraussetzungen der unentgeltlichen Rechtspflege (Art. 65 Abs. 1 VwVG) nicht gegeben, weshalb das Gesuch ungeachtet der geltend ge- machten Mittellosigkeit abzuweisen ist. Schliesslich ist auch das Gesuch um Beiordnung eines amtlichen Rechtsbeistandes abzuweisen (Art. 102m Abs. 1 AsylG).</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Das Gesuch um Erlass des Kostenvorschusses ist mit vorliegendem Direktentscheid gegenstandslos geworden. (Dispositiv nächste Seite)</w:t>
      </w:r>
    </w:p>
    <w:p>
      <w:r>
        <w:t>E-3148/2024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