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E-3147/2017 vom 29. Juni 2017</w:t>
      </w:r>
    </w:p>
    <w:p>
      <w:r>
        <w:t>Bundesverwaltungsgericht, 2017-06-29, DE</w:t>
      </w:r>
    </w:p>
    <w:p>
      <w:r>
        <w:rPr>
          <w:b/>
        </w:rPr>
        <w:t xml:space="preserve">Quelle: </w:t>
      </w:r>
      <w:r>
        <w:t>https://mcp.opencaselaw.ch/entscheid/bvger_E-3147_2017</w:t>
      </w:r>
    </w:p>
    <w:p>
      <w:r>
        <w:t>FR: TAF E-3147/2017 du 29 juin 2017</w:t>
      </w:r>
    </w:p>
    <w:p>
      <w:r>
        <w:t>IT: TAF E-3147/2017 del 29 giugno 2017</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ausschliesslich gegen den Vollzug der Wegweisung. Die Ziffern 1 (Verneinung der Flüchtlingseigenschaft), 2 (Ablehnung des Asylgesuchs) und 3 (Wegweisung aus der Schweiz) des Dispositivs der Verfügung vom 28. April 2017 sind mangels Anfechtung in Rechtskraft erwachsen.</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5.1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5.2</w:t>
      </w:r>
    </w:p>
    <w:p>
      <w:r>
        <w:t>Beim Geltendmachen von Wegweisungsvollzugshindernissen gilt gemäss ständiger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5.3.1</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der Beschwerdeführer erfülle die Flüchtlingseigenschaft nicht. Die Vorinstanz begründet ihren Schluss damit, die Vorbringen des Beschwerdeführers hielten weder den Anforderungen an das Glaubhaftmachen gemäss Art. 3 AsylG noch denjenigen an die Flüchtlingseigenschaft stand. Die vorinstanzliche Beweiswürdigung ist nicht zu beanstanden. Was in der Rechtsmitteleingabe dagegen vorgebracht wird, ist nicht geeignet, die vorinstanzlichen Erwägungen in einem anderen Lichte zu sehen. Vielmehr sind weitere Unklarheiten festzustellen. So hat der Beschwerdeführer anlässlich der Befragungen zu Protokoll gegeben, er sei vom Vater so heftig geschlagen worden, dass er auf dem rechten Ohr nicht mehr so gut höre (A3/10 Ziff. 7.01 S. 6 und A12/16 F73 S. 8). In der Rechtsmitteleingabe macht er nun geltend, er habe seit diesem Ereignis Probleme mit dem Rücken. Weiter vermag er mit dem Wiederholen des aktenkundigen Sachverhaltes und dem Festhalten an der Tatsächlichkeit seiner Vorbringen nicht darzutun, inwiefern die Vorinstanz seine Vorbringen zu Unrecht als unglaubhaft bezeichnet und die Flüchtlingseigenschaft verneint hat. Das flüchtlingsrechtliche Rückschiebungsverbot von Art. 33 Abs. 1 des Abkommens vom 28. Juli 1951 über die Rechtsstellung der Flüchtlinge (FK, SR 0.142.30) und Art. 5 AsylG ist somit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Afghanistan dort mit beachtlicher Wahrscheinlichkeit einer nach Art. 3 EMRK oder Art. 1 FoK verbotenen Strafe oder Behandlung ausgesetzt wäre. Der Vollzug der Wegweisung ist zulässig.</w:t>
      </w:r>
    </w:p>
    <w:p>
      <w:r>
        <w:rPr>
          <w:b/>
        </w:rPr>
        <w:t>E. 5.4.1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5.4.2</w:t>
      </w:r>
    </w:p>
    <w:p>
      <w:r>
        <w:t>Zur Zumutbarkeit des Vollzugs der Wegweisung führt die Vorinstanz in der angefochtenen Verfügung aus, die Wegweisungshindernisse seien grundsätzlich von Amtes wegen zu prüfen. Diese Untersuchungspflicht finde jedoch ihre Grenze an der Mitwirkungs- und Wahrheitspflicht des Beschwerdeführers. Nach ständiger Rechtsprechung sei es bei fehlenden Hinweisen nicht Aufgabe der Behörden, nach allfälligen Wegweisungshindernissen zu forschen. Der Beschwerdeführer sei der ihm obliegenden Pflicht nicht nachgekommen und habe die Asylbehörden zu täuschen versucht. Der Vollzug der Wegweisung sei daher zumutbar.</w:t>
      </w:r>
    </w:p>
    <w:p>
      <w:r>
        <w:rPr>
          <w:b/>
        </w:rPr>
        <w:t>E. 5.4.3</w:t>
      </w:r>
    </w:p>
    <w:p>
      <w:r>
        <w:t>Vorliegend kann letztlich offen bleiben, ob der Beschwerdeführer seine Mitwirkungspflicht verletzt hat. Das Gericht geht jedenfalls davon aus, dass der Beschwerdeführer aus Kabul stammt und dort über Jahre gelebt hat. Diesbezüglich ist eine Prüfung der Zumutbarkeit des Vollzugs der Wegweisung somit möglich.</w:t>
      </w:r>
    </w:p>
    <w:p>
      <w:r>
        <w:rPr>
          <w:b/>
        </w:rPr>
        <w:t>E. 5.4.4</w:t>
      </w:r>
    </w:p>
    <w:p>
      <w:r>
        <w:t>Betreffend die allgemeine Lage in Afghanistan ist auf das Urteil BVGE 2011/7 zu verweisen. Nach eingehender Lageanalyse stellte das Bundesverwaltungsgericht darin fest, dass die Sicherheitslage sowie die humanitären Bedingungen in weiten Teilen Afghanistans - ausser allenfalls in den Grossstädten - schlecht seien, weshalb die Situation in Afghanistan praktisch flächendeckend als existenzbedrohend im Sinne von Art. 83 Abs. 4 AuG zu qualifizieren sei. Von dieser allgemeinen Feststellung sei die Lage in der Hauptstadt Kabul zu unterscheiden. Angesichts dessen, dass dort die Sicherheitslage weniger bedrohlich als in den anderen Landesteilen sei, sowie sich zumindest in letzter Zeit nicht verschlechtert habe, und dass die humanitäre Situation im Vergleich zu den übrigen Gebieten etwas weniger dramatisch sei, könne der Vollzug der Wegweisung nach Kabul unter Umständen als zumutbar qualifiziert werden. Angesichts der konstanten Verschlechterung der Lage über die vergangenen Jahre hinweg und der auch in Kabul schwierigen Situation verstehe es sich aber von selbst, dass die bereits von der vormaligen Beschwerdeinstanz in Entscheidungen und Mitteilungen der Schweizerischen Asylrekurskommission [EMARK] 2003 Nr. 10 formulierten strengen Bedingungen in jedem Einzelfall sorgfältig geprüft werden und erfüllt sein müssten,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lebensbedrohende Situation führen (vgl. BVGE 2011/7 E. 9.9). An dieser Rechtsprechung ist, auch unter Berücksichtigung des vom Beschwerdeführer angeführten Berichtes der Schweizerischen Flüchtlingshilfe zur allgemeinen Lage in Kabul, nach wie vor festzuhalten (vgl. dazu in jüngerer Rechtsprechung: Urteile des BVGer E-6580/2016 vom 22. Juni 2017, E 2258/2017 vom 11. Mai 2017 E. 7.3, letzteres mit weiteren Hinweisen). Der Beschwerdeführer ist heute (...) Jahre alt und hat gemäss seinen Angaben die letzten rund (...) Jahre vor der Ausreise zusammen mit seiner Familie in Kabul gelebt. Gemäss seinen Angaben lebt seine Familie, namentlich sein Vater, dessen Ehefrau und zahlreiche Geschwister sowie Halbgeschwister nach wie vor in Kabul (vgl. dazu die eingereichte Bestätigung, welche in der Beschwerde übersetzt wurde). Damit verfügt der Beschwerdeführer in Kabul über ein familiäres Beziehungsnetz, welches ihm bei einer Rückkehr Unterkunft und Aufnahme bieten und bei einer Reintegration behilflich sein kann. Ferner ist anzunehmen, dass er in Kabul auch über ausserfamiliäre Beziehungen verfügt. Gemäss seinen Angaben hat er in verschiedenen Berufen gearbeitet, mithin ist davon auszugehen, dass er mit Hilfe seines gesamten sozialen Umfeldes sich eine eigene wirtschaftliche Existenz schaffen kann. Soweit er in der Rechtsmitteleingabe ausführt, er sei aufgrund des Erlebten in psychologischer Betreuung, substantiiert er dieses Vorbringen nicht ansatzweise. Nachdem es ihm nicht gelungen ist, seine Asylvorbringen glaubhaft zu machen, besteht keine Veranlassung, einen ärztlichen Bericht einzufordern. Insgesamt liegen somit bezüglich des Beschwerdeführers begünstigende Umstände im Sinne der Rechtsprechung vor, und es ist nicht anzunehmen, dass der Beschwerdeführer bei einer Rückkehr nach Kabul in eine existenzielle Notlage geraten wird. Der Vollzug der Wegweisung ist daher als zumutbar zu erachten.</w:t>
      </w:r>
    </w:p>
    <w:p>
      <w:r>
        <w:rPr>
          <w:b/>
        </w:rPr>
        <w:t>E. 5.5</w:t>
      </w:r>
    </w:p>
    <w:p>
      <w:r>
        <w:t>Schliesslich obliegt es dem Beschwerdeführer, sich bei der zuständigen Vertretung Afghanistans die für eine Rückkehr notwendigen Reisedokumente zu beschaffen (vgl. Art. 8 Abs. 4 AsylG und dazu auch BVGE 2014/39 E. 9.5 S. 703), weshalb der Vollzug der Wegweisung auch als möglich zu bezeichnen ist (Art. 83 Abs. 2 AuG).</w:t>
      </w:r>
    </w:p>
    <w:p>
      <w:r>
        <w:rPr>
          <w:b/>
        </w:rPr>
        <w:t>E. 5.6</w:t>
      </w:r>
    </w:p>
    <w:p>
      <w:r>
        <w:t>Die Vorinstanz hat den Vollzug demnach zu Recht als zulässig, zumutbar und möglich erachtet. An diesem Schluss vermögen weder die eingereichten zwei Fotos noch die in Aussicht gestellte Tazkera etwas zu ändern, weshalb der Antrag auf Ansetzung einer Frist zur Einreichung letzterer abzuweisen ist. Die Anordnung einer vorläufigen Aufnahme fällt somit ausser Betracht (Art. 83 Abs. 1-4 AuG).</w:t>
      </w:r>
    </w:p>
    <w:p>
      <w:r>
        <w:rPr>
          <w:b/>
        </w:rPr>
        <w:t>E. 6</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7.1</w:t>
      </w:r>
    </w:p>
    <w:p>
      <w:r>
        <w:t>Der Beschwerdeführer beantragt die Gewährung der unentgeltlichen Prozessführung und amtlichen Verbeiständung. Aufgrund der vorstehenden Erwägungen ergibt sich, dass seine Begehren als aussichtslos zu gelten haben. Damit ist eine der kumulativ zu erfüllenden Voraussetzungen nicht gegeben, weshalb den Gesuchen nicht stattzugeben ist.</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