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E-3142/2019 vom 26. August 2019</w:t>
      </w:r>
    </w:p>
    <w:p>
      <w:r>
        <w:t>Bundesverwaltungsgericht, 2019-08-26, FR</w:t>
      </w:r>
    </w:p>
    <w:p>
      <w:r>
        <w:rPr>
          <w:b/>
        </w:rPr>
        <w:t xml:space="preserve">Quelle: </w:t>
      </w:r>
      <w:r>
        <w:t>https://mcp.opencaselaw.ch/entscheid/bvger_E-3142_2019</w:t>
      </w:r>
    </w:p>
    <w:p>
      <w:r>
        <w:t>FR: TAF E-3142/2019 du 26 août 2019</w:t>
      </w:r>
    </w:p>
    <w:p>
      <w:r>
        <w:t>IT: TAF E-3142/2019 del 26 agosto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 Il statue de manière définitive (art. 83 let. d ch. 1 LTF).</w:t>
      </w:r>
    </w:p>
    <w:p>
      <w:r>
        <w:rPr>
          <w:b/>
        </w:rPr>
        <w:t>E. 1.2</w:t>
      </w:r>
    </w:p>
    <w:p>
      <w:r>
        <w:t>La présente procédure est soumise à la LAsi dans son ancienne teneur (cf. Dispositions transitoires de la modification de la LAsi du 25 septembre 2015, al. 1). Le 1er janvier 2019, la loi fédérale sur les étrangers du 16 décembre 2005 (LEtr, RS 142.20) a été partiellement révisée et renommée en loi fédérale sur les étrangers et l'intégration (LEI). Les dispositions légales applicables (art. 83 et 84) ont été reprises sans modification, raison pour laquelle le Tribunal utilise la nouvelle dénomination.</w:t>
      </w:r>
    </w:p>
    <w:p>
      <w:r>
        <w:rPr>
          <w:b/>
        </w:rPr>
        <w:t>E. 1.3</w:t>
      </w:r>
    </w:p>
    <w:p>
      <w:r>
        <w:t>Le recourant a qualité pour recourir (art. 48 al. 1 PA). Présenté dans la forme (art. 52 al. 1 PA) et le délai (anc. art. 108 al. 1 LAsi) prescrits par la loi, le recours est recevable.</w:t>
      </w:r>
    </w:p>
    <w:p>
      <w:r>
        <w:rPr>
          <w:b/>
        </w:rPr>
        <w:t>E. 1.4</w:t>
      </w:r>
    </w:p>
    <w:p>
      <w:r>
        <w:t>Saisi d'un recours contre une décision du SEM rendue en matière d'asile, le Tribunal tient compte de la situation et des éléments tels qu'ils se présentent au moment où il se prononce (cf. ATAF 2012/21 consid. 5 ; 2010/57 consid. 2.6 ;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L'asile n'est pas accordé à la personne qui n'est devenue un réfugié au sens de l'art. 3 LAsi qu'en quittant son Etat d'origine ou de provenance ou en raison de son comportement ultérieur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recourant n'a pas attaqué la décision du SEM du 22 mai 2019 en tant qu'elle rejette sa demande d'asile, puisqu'il s'est expressément contenté de conclure à la reconnaissance de « la qualité de réfugié [...] au sens de l'art. 54 LAsi » (cf. dernière page du recours). Partant, sous l'angle de l'asile, la décision précitée a acquis force de chose décidée. Il convient donc d'examiner la question de savoir si le recourant peut se voir reconnaître la qualité de réfugié, à l'exclusion de l'asile, pour des motifs subjectifs survenus après sa fuite (art. 54 LAsi), en raison des risques que ferait peser sur lui sa seule sortie illégale du pays (« Republikflucht »).</w:t>
      </w:r>
    </w:p>
    <w:p>
      <w:r>
        <w:rPr>
          <w:b/>
        </w:rPr>
        <w:t>E. 4.1</w:t>
      </w:r>
    </w:p>
    <w:p>
      <w:r>
        <w:t>Dans son arrêt D-7898/2015 du 30 janvier 2017, publié comme arrêt de référence, le Tribunal a examiné dans quelle mesure les Erythréens qui quittent leur pays illégalement doivent craindre des mesures de persécution, à ce titre, en cas de retour.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4.2</w:t>
      </w:r>
    </w:p>
    <w:p>
      <w:r>
        <w:t>En l'occurrence, de tels facteurs supplémentaires, au sens de la jurisprudence précitée, font défaut. D'abord, le recourant n'a pas été actif politiquement. Ensuite, il n'a pas rendu vraisemblable avoir été convoqué par les autorités érythréennes pour accomplir son service militaire. A cet égard, il s'est contredit au sujet du délai dans lequel il devait se présenter à F._______, indiquant tantôt avoir dû s'y rendre immédiatement après la réception de la convocation (cf. pv de son audition sur les données personnelles, p. 4) tantôt un mois après (cf. pv de l'audition sur les motifs, Q70). En outre, il a déclaré, lors de sa première audition, que rien de particulier ne s'était passé entre la réception de la convocation et son départ du pays (cf. pv de son audition sur les données personnelles, pts 7.01 et 7.02), alors qu'il a invoqué, au cours de sa seconde audition, que les autorités l'avaient recherché au moulin de son père, ce qui avait motivé son départ une semaine plus tard (cf. pv de l'audition sur les motifs, Q70, 79, 80, 88 et 89). De plus, il n'est pas plausible qu'il ne se soit pas présenté devant les autorités en février ou mars 2015 et que celles-ci aient attendu le mois de septembre pour le rechercher auprès de son père. De surcroît, sa famille n'a jamais été inquiétée par les autorités après son départ d'Erythrée, ce qui confirme qu'il ne risque rien en cas de retour. Pour le reste, le Tribunal renvoie aux considérants du SEM traitant de l'invraisemblance des motifs d'asile du recourant.</w:t>
      </w:r>
    </w:p>
    <w:p>
      <w:r>
        <w:rPr>
          <w:b/>
        </w:rPr>
        <w:t>E. 4.3</w:t>
      </w:r>
    </w:p>
    <w:p>
      <w:r>
        <w:t>Ainsi, la seule sortie illégale du recourant d'Erythrée ne suffit pas, en soi, à le faire apparaître comme une personne indésirable aux yeux des autorités de son pays.</w:t>
      </w:r>
    </w:p>
    <w:p>
      <w:r>
        <w:rPr>
          <w:b/>
        </w:rPr>
        <w:t>E. 4.4</w:t>
      </w:r>
    </w:p>
    <w:p>
      <w:r>
        <w:t>Dans ces conditions, le recours doit être rejeté sous l'angle de la reconnaissance de la qualité de réfugié pour des motifs subjectifs postérieurs à la fuite (art. 54 et 3 LAsi).</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cf. aussi art. 33 al. 1 de la Convention du 28 juillet 1951 relative au statut des réfugiés [CR, RS 0.142.30]), et ensuite de l'étranger pouvant démontrer qu'il serait exposé à un traitement prohibé par l'art. 3 CEDH.</w:t>
      </w:r>
    </w:p>
    <w:p>
      <w:r>
        <w:rPr>
          <w:b/>
        </w:rPr>
        <w:t>E. 7.2</w:t>
      </w:r>
    </w:p>
    <w:p>
      <w:r>
        <w:t>En l'espèce, l'exécution du renvoi ne contrevient pas au principe de non-refoulement de l'art. 5 LAsi, le recourant n'ayant pas établi qu'il serait, en cas de retour dans son pays, exposé à de sérieux préjudices au sens de l'art. 3 LAsi.</w:t>
      </w:r>
    </w:p>
    <w:p>
      <w:r>
        <w:rPr>
          <w:b/>
        </w:rPr>
        <w:t>E. 7.3</w:t>
      </w:r>
    </w:p>
    <w:p>
      <w:r>
        <w:t>En ce qui concerne les autres engagements de la Suisse relevant du droit international, il sied d'examiner particulièrement si les art. 3 et 4 CEDH trouvent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Après une analyse approfondie des sources disponibles (cf. ATAF 2018 VI/4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(cf. arrêt précité, consid. 5).</w:t>
      </w:r>
    </w:p>
    <w:p>
      <w:r>
        <w:rPr>
          <w:b/>
        </w:rPr>
        <w:t>E. 7.3.2</w:t>
      </w:r>
    </w:p>
    <w:p>
      <w:r>
        <w:t>Dans l'ATAF 2018 VI/4 susmentionné,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(cf. consid. 5.1). Il a ainsi constaté que les soldats, durant leur formation, sont exposés à l'arbitraire de leurs supérieurs, qui punissaient sévèrement les manifestations d'indiscipline, les opinions divergentes et les tentatives de fuite (cf. op. cit., consid. 5.2.1). Cette situation 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(cf. op. cit, consid. 5.2.2). S'agissant du service civil, il est très peu rémunéré ; ceux qui y sont incorporés ont peine à couvrir leurs besoins avec la solde versée (cf.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militaires incorporés soient à ce point généralisés que chacun et chacune d'entre eux risquent concrètement et sérieusement de se voir infliger de tels sévices (cf. op. cit., consid. 6.1.4). L'existence d'un danger sérieux, du fait de l'accomplissent du service national, d'être exposé à une violation crasse de l'art. 4 ch. 2 CEDH (interdiction du travail forcé ou obligatoire) ne peut ainsi être retenue (cf. op. cit., consid. 6.1.5) ; il en va de même du risque d'être soumis à un traitement inhumain ou dégradant au sens de l'art. 3 CEDH (cf. op. cit., consid. 6.1.6). En conclusion, le risque d'être convoqué par l'autorité militaire et d'être tenu au service national n'est pas en soi de nature à rendre illicite l'exécution du renvoi en Erythrée.</w:t>
      </w:r>
    </w:p>
    <w:p>
      <w:r>
        <w:rPr>
          <w:b/>
        </w:rPr>
        <w:t>E. 7.3.3</w:t>
      </w:r>
    </w:p>
    <w:p>
      <w:r>
        <w:t>En l'espèce, le recourant a soutenu que l'exécution du renvoi emportait violation des art. 3 et 4 ch. 2 CEDH, et a fondé son argumentation sur la base d'un arrêt de l'Upper Tribunal du Royaume-Uni (Immigration and Asylum Chamber) du 11 octobre 2016 ainsi que sur la jurisprudence de la CourEDH. Selon lui, il ressort de ce jugement que la charge de travail imposée pour une durée indéterminée dans le cadre du service militaire érythréen constituerait du travail forcé et l'exposerait à des peines ou traitements inhumains ou dégradants. A cet égard, le Tribunal relève que l'arrêt précité de l'Upper Tribunal du Royaume-Uni ne saurait remettre en cause la jurisprudence rappelée ci-dessus, ce d'autant moins qu'une décision d'une autorité judiciaire étrangère ne peut lier les autorités administratives et judiciaires suisses (cf. arrêts du Tribunal E-7378/2016 du 8 novembre 2018 consid. 4.6 ; D-6029/2016 du 22 octobre 2018 consid. 6.2 ; D-55/2017 du 21 septembre 2018 consid. 6.5). Par ailleurs, la plupart des arrêts de la CourEDH cités par le recourant ont été pris en compte par le Tribunal dans son arrêt publié aux ATAF 2018 VI/4. Seuls deux arrêts de la CourEDH auquel le recourant s'est référé n'y sont pas cités ; il s'agit des arrêts M.A. c. Suisse du 18 novembre 2014 (requête n° 52589/13) et Chowdury et autres c. Grèce du 20 mars 2017 (requête n° 21884/15). Cependant, ces arrêts sont antérieurs à l'ATAF 2018 VI/4 du 10 juillet 2018 et ne sont pas susceptibles de le remettre en cause, de sorte qu'ils ne s'avèrent pas déterminants. En outre, le rapport du Rapporteur spécial sur la situation des droits humains en Erythrée pour la période du 18 juin au 6 juillet 2018 n'établit pas que la situation sur place se serait considérablement péjorée en comparaison de celle à la base du rapport de la Commission d'enquête du HCR publié le 8 juin 2016, dont le Tribunal a tenu compte dans l'ATAF 2018 VI/4, de sorte que ce document n'est pas pertinent. Par ailleurs, le fait que le rapport du service de l'immigration danois de décembre 2014 a été ouvertement critiqué a déjà été pris en compte par le Tribunal dans son ATAF 2018 VI/4 (cf. consid. 4.3, 2ème par.) et le recourant n'apporte aucun élément susceptible de remettre en cause l'analyse précitée du Tribunal (cf. recours, p. 9 et 10). La décision du CAT du 7 décembre 2018 citée par le recourant n'est, quant à elle, pas pertinente en l'espèce. Le CAT a certes constaté que l'absence d'un examen effectif, indépendant et impartial d'une décision du SEM attaquée devant le Tribunal constituait un manquement à l'art. 3 Conv. torture. Toutefois, la situation visée dans cette affaire est différente du cas d'espèce, dans la mesure où le Tribunal avait déclaré le recours en question irrecevable faute de versement de l'avance de frais requise et ceci en procédant uniquement à une appréciation anticipée et sommaire des preuves pour déterminer quelle pourrait être l'issue vraisemblable de la procédure. Au demeurant, la décision du SEM dans l'affaire précitée a été rendue le 1er mars 2016 et était dès lors antérieure à l'arrêt de principe du Tribunal du 10 juillet 2018 publié aux ATAF 2018 VI/4.</w:t>
      </w:r>
    </w:p>
    <w:p>
      <w:r>
        <w:rPr>
          <w:b/>
        </w:rPr>
        <w:t>E. 7.3.4</w:t>
      </w:r>
    </w:p>
    <w:p>
      <w:r>
        <w:t>En conclusion, le Tribunal constate que le recourant, pour les raisons exposées au considérant 4 ci-dessus, n'a pas rendu vraisemblable la forte probabilité d'un risque de traitement contraire au droit international. Dès lors, l'exécution du renvoi sous forme de refoulement ne transgresse aucun engagement de la Suisse relevant du droit international, de sorte qu'elle s'avère licite (art. 44 LAsi et art. 83 al. 3 LEI).</w:t>
      </w:r>
    </w:p>
    <w:p>
      <w:r>
        <w:rPr>
          <w:b/>
        </w:rPr>
        <w:t>E. 7.3.5</w:t>
      </w:r>
    </w:p>
    <w:p>
      <w:r>
        <w:t>Il est enfin rappelé que, dans son arrêt récent précité, le Tribunal s'est uniquement prononcé - en raison de l'absence d'un accord de réadmission entre la Suisse et l'Erythrée sur la licéité de l'exécution du renvoi sur une base volontaire et a laissé indécise la question de savoir si l'exécution du renvoi accompagnée de mesures de contrainte (actuellement impossible) était licite ou non (cf. ATAF 2018 VI/4 consid. 6.1.7).</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l'Erythrée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D-2311/2016 du 17 août 2017 consid. 17).</w:t>
      </w:r>
    </w:p>
    <w:p>
      <w:r>
        <w:rPr>
          <w:b/>
        </w:rPr>
        <w:t>E. 8.3</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notamment arrêts du Tribunal D-5062/2018 du 15 novembre 2018 consid. 7.1 ; E-1423/2017 du 12 novembre 2018 consid. 7.2 ; E-7378/2016 du 8 novembre 2018 consid. 7.3).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précité consid. 16). Le seul risque d'être incorporé dans le service national ne peut plus être considéré en soi comme un obstacle à l'exécution du renvoi au sens de l'art. 83 al. 4 LEI (cf. ATAF 2018 VI/4 consid. 6.2).</w:t>
      </w:r>
    </w:p>
    <w:p>
      <w:r>
        <w:rPr>
          <w:b/>
        </w:rPr>
        <w:t>E. 8.4</w:t>
      </w:r>
    </w:p>
    <w:p>
      <w:r>
        <w:t>En l'occurrence, il ne ressort du dossier aucun élément défavorable dont on pourrait inférer que l'exécution du renvoi impliquerait une mise en danger concrète du recourant. A cet égard, le Tribunal relève que celui-ci est jeune, sans charge de famille et n'a pas fait état d'une quelconque atteinte à sa santé. Il a en outre été scolarisé et a travaillé avec ses parents sur les terres agricoles familiales ainsi qu'au moulin. De plus, bien que cela ne soit pas décisif en l'espèce, le recourant dispose en Erythrée, pays où il a passé la majeure partie de sa vie, d'un large réseau familial sur lequel il pourra compter à son retour, et qui est constitué à tout le moins de ses parents et de plusieurs frères et soeurs. Il est encore relevé que sa famille est propriétaire du logement qu'elle occupe et possède un moulin ainsi qu'une épicerie. Il s'ensuit que le recourant pourra se réinsérer sans difficulté insurmontable dans son pays d'origine. Il est en outre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8.5</w:t>
      </w:r>
    </w:p>
    <w:p>
      <w:r>
        <w:t>Au vu de ce qui précède, l'exécution du renvoi du recourant est raisonnablement exigible, au sens de l'art. 83 al. 4 LEI a contrario.</w:t>
      </w:r>
    </w:p>
    <w:p>
      <w:r>
        <w:rPr>
          <w:b/>
        </w:rPr>
        <w:t>E. 9</w:t>
      </w:r>
    </w:p>
    <w:p>
      <w:r>
        <w:t>Enfin, bien qu'un renvoi en Erythrée sous contrainte ne soit, d'une manière générale, pas possible (cf. ATAF 2018 VI/4 consid. 6.3 et arrêt précitéD-2311/2016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cf.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confirmée.</w:t>
      </w:r>
    </w:p>
    <w:p>
      <w:r>
        <w:rPr>
          <w:b/>
        </w:rPr>
        <w:t>E. 11</w:t>
      </w:r>
    </w:p>
    <w:p>
      <w:r>
        <w:t>Le recours s'avérant manifestement infondé, il est rejeté dans une procédure à juge unique, avec l'approbation d'un second juge (cf. art. 111 let. e LAsi). Il est dès lors renoncé à un échange d'écritures (cf. art. 111a al. 1 LAsi).</w:t>
      </w:r>
    </w:p>
    <w:p>
      <w:r>
        <w:rPr>
          <w:b/>
        </w:rPr>
        <w:t>E. 12.1</w:t>
      </w:r>
    </w:p>
    <w:p>
      <w:r>
        <w:t>Dans la mesure où les conclusions du recours étaient d'emblée vouées à l'échec, la requête d'assistance judiciaire partielle doit être rejetée (cf. art. 65 al. 1 PA). Dès lors, la requête de nomination d'un mandataire d'office, en application de l'anc. art. 110a LAsi, doit également être rejetée.</w:t>
      </w:r>
    </w:p>
    <w:p>
      <w:r>
        <w:rPr>
          <w:b/>
        </w:rPr>
        <w:t>E. 12.2</w:t>
      </w:r>
    </w:p>
    <w:p>
      <w:r>
        <w:t>Au vu de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