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E-3138/2020 vom 23. Juli 2020</w:t>
      </w:r>
    </w:p>
    <w:p>
      <w:r>
        <w:t>Bundesverwaltungsgericht, 2020-07-23, FR</w:t>
      </w:r>
    </w:p>
    <w:p>
      <w:r>
        <w:rPr>
          <w:b/>
        </w:rPr>
        <w:t xml:space="preserve">Quelle: </w:t>
      </w:r>
      <w:r>
        <w:t>https://mcp.opencaselaw.ch/entscheid/bvger_E-3138_2020</w:t>
      </w:r>
    </w:p>
    <w:p>
      <w:r>
        <w:t>FR: TAF E-3138/2020 du 23 juillet 2020</w:t>
      </w:r>
    </w:p>
    <w:p>
      <w:r>
        <w:t>IT: TAF E-3138/2020 del 23 luglio 2020</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recourante a qualité pour recourir (cf. art. 48 al. 1 PA). Présenté dans la forme (cf. art. 52 al. 1 PA) et dans le délai (cf. art. 108 al. 6 LAsi) prescrits par la loi, le recours est recevable.</w:t>
      </w:r>
    </w:p>
    <w:p>
      <w:r>
        <w:rPr>
          <w:b/>
        </w:rPr>
        <w:t>E. 2.1</w:t>
      </w:r>
    </w:p>
    <w:p>
      <w:r>
        <w:t>En l'espèce, la recourante fait valoir qu'en raison d'activités politiques déployées en Suisse après la fin de sa première procédure d'asile, elle peut se prévaloir d'une crainte fondée de persécutions en cas de retour en Erythrée.</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w:t>
      </w:r>
    </w:p>
    <w:p>
      <w:r>
        <w:rPr>
          <w:b/>
        </w:rPr>
        <w:t>E. 2.3</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dernière disposition.</w:t>
      </w:r>
    </w:p>
    <w:p>
      <w:r>
        <w:rPr>
          <w:b/>
        </w:rPr>
        <w:t>E. 2.4</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étant réservées (cf. art. 3 al. 4 LAsi).</w:t>
      </w:r>
    </w:p>
    <w:p>
      <w:r>
        <w:rPr>
          <w:b/>
        </w:rPr>
        <w:t>E. 2.5</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Berne 1999, p. 77 s.).</w:t>
      </w:r>
    </w:p>
    <w:p>
      <w:r>
        <w:rPr>
          <w:b/>
        </w:rPr>
        <w:t>E. 3.1</w:t>
      </w:r>
    </w:p>
    <w:p>
      <w:r>
        <w:t>En l'espèce, comme le SEM l'a relevé à juste titre, l'intéressée n'a nullement démontré sa participation effective à des manifestations d'opposition à l'Etat érythréen sur le territoire helvétique. Elle n'a pas non plus démontré occuper une position particulière, dirigeante ou organisationnelle, dans la diaspora érythréenne, susceptible de la placer dans le collimateur des autorités de son pays d'origine.</w:t>
      </w:r>
    </w:p>
    <w:p>
      <w:r>
        <w:rPr>
          <w:b/>
        </w:rPr>
        <w:t>E. 3.2</w:t>
      </w:r>
    </w:p>
    <w:p>
      <w:r>
        <w:t>Certes, l'intéressée a participé à deux événements médiatisés. Cependant, elle ne s'est pas particulièrement distinguée et ne s'est en aucun cas personnellement montrée virulente envers le régime d'Asmara. Elle est apparue comme une requérante d'asile érythréenne déboutée en Suisse et a témoigné de son vécu en tant que telle. Il ne ressort pas des moyens de preuve produits qu'elle se soit exprimée explicitement sur le traitement des citoyens érythréens dans leur pays. Au contraire, l'article témoignant de sa rencontre avec (...) relate : « (...)». Tout au plus, elle y décrit le risque d'être emprisonnée et d'être enrôlée dans le service militaire, ce qui ne suffit pas pour pouvoir la considérer comme une opposante à l'Etat érythréen. Le fait qu'elle soit apparue à diverses reprises aux côtés de B._______, (...), ne change rien à cette constatation. En fait, en l'absence de tout réel militantisme en Suisse, elle ne se distingue pas des autres ressortissants érythréens, déboutés en application de la jurisprudence actuelle citée dans l'arrêtE-4734/2019. Elle ne sera pas vue, en cas de retour dans son pays, différemment de ceux-ci par les autorités.</w:t>
      </w:r>
    </w:p>
    <w:p>
      <w:r>
        <w:rPr>
          <w:b/>
        </w:rPr>
        <w:t>E. 3.3</w:t>
      </w:r>
    </w:p>
    <w:p>
      <w:r>
        <w:t>Partant, en l'absence de motif subjectif pertinent postérieur au départ d'Erythrée, le recours, en tant qu'il conteste le refus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Les questions liées à l'exécution du renvoi de l'intéressée ont été examinées tant par le SEM, dans ses décisions des 3 août 2017 et 27 mai 2020, que par le Tribunal dans son arrêt E-4734/2017 du 21 janvier 2019. En l'absence de tout élément nouveau de nature à conduire au réexamen de ces questions et au vu des considérants qui précèdent, l'exécution du renvoi doit être considérée comme étant toujours licite, raisonnablement exigible et possible, au sens des considérants de l'arrêt précité, auquel il est renvoyé.</w:t>
      </w:r>
    </w:p>
    <w:p>
      <w:r>
        <w:rPr>
          <w:b/>
        </w:rPr>
        <w:t>E. 6.2</w:t>
      </w:r>
    </w:p>
    <w:p>
      <w:r>
        <w:t>Partant, le recours, en tant qu'il porte sur le renvoi et son exécution, doit également être rejeté.</w:t>
      </w:r>
    </w:p>
    <w:p>
      <w:r>
        <w:rPr>
          <w:b/>
        </w:rPr>
        <w:t>E. 7.1</w:t>
      </w:r>
    </w:p>
    <w:p>
      <w:r>
        <w:t>Dans sa demande du 14 mai 2020, la recourante a demandé à être dispensée du paiement d'un éventuel émolument.</w:t>
      </w:r>
    </w:p>
    <w:p>
      <w:r>
        <w:rPr>
          <w:b/>
        </w:rPr>
        <w:t>E. 7.2</w:t>
      </w:r>
    </w:p>
    <w:p>
      <w:r>
        <w:t>Aux termes de l'art. 111d al. 2 LAsi, le SEM accorde une telle dispense si la partie est indigente et si la demande multiple n'est pas d'emblée vouée à l'échec.</w:t>
      </w:r>
    </w:p>
    <w:p>
      <w:r>
        <w:rPr>
          <w:b/>
        </w:rPr>
        <w:t>E. 7.3</w:t>
      </w:r>
    </w:p>
    <w:p>
      <w:r>
        <w:t>Dans sa décision du 27 mai 2020, le SEM a rejeté la requête de dispense de paiement des frais au motif que la recourante n'avait présenté aucune attestation d'indigence, alors qu'elle était représentée par un mandataire connaissant les exigences légales en la matière. Il a retenu que l'attestation produite dans le cadre de son recours du 3 août 2017 était « périmée depuis presque trois ans ». Il n'a pas considéré la demande multiple comme étant vouée à l'échec.</w:t>
      </w:r>
    </w:p>
    <w:p>
      <w:r>
        <w:rPr>
          <w:b/>
        </w:rPr>
        <w:t>E. 7.4</w:t>
      </w:r>
    </w:p>
    <w:p>
      <w:r>
        <w:t>Le Tribunal constate qu'il a rendu son arrêt E-4734/2017 le 21 janvier 2019 et qu'à ce moment (et non pas il y a presque trois ans), la recourante était toujours tenue pour indigente. Celle-ci a en outre annexé à son mémoire de recours du 18 juin 2020 une attestation d'indigence portant la même date. Même s'il appartenait à l'intéressée de démontrer son indigence, le SEM a, dans les circonstances du cas d'espèce, constaté un fait déterminant de manière inexacte en présumant qu'elle était revenue à meilleure fortune. Il aurait dû exiger une telle preuve avant de rendre sa décision. Partant, la décision du SEM du 27 mai 2020 doit être annulée en tant qu'elle met un émolument de 600 francs à charge de l'intéressée. Le recours est donc admis sur ce point.</w:t>
      </w:r>
    </w:p>
    <w:p>
      <w:r>
        <w:rPr>
          <w:b/>
        </w:rPr>
        <w:t>E. 8</w:t>
      </w:r>
    </w:p>
    <w:p>
      <w:r>
        <w:t>Dès lors que le recours avait de par la loi effet suspensif, lequel n'a pas été retiré par le SEM, la demande de mesures provisionnelles était d'emblée privée d'objet.</w:t>
      </w:r>
    </w:p>
    <w:p>
      <w:r>
        <w:rPr>
          <w:b/>
        </w:rPr>
        <w:t>E. 9.1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9.2</w:t>
      </w:r>
    </w:p>
    <w:p>
      <w:r>
        <w:t>Il convient toutefois d'admettre la requête d'assistance judiciaire partielle, dans la mesure où les conclusions du recours n'étaient pas vouées à l'échec et que, selon l'attestation du 18 juin 2020 annexée au mémoire de recours, l'intéressée est indigente (cf. art. 65 al. 1 PA).</w:t>
      </w:r>
    </w:p>
    <w:p>
      <w:r>
        <w:rPr>
          <w:b/>
        </w:rPr>
        <w:t>E. 9.3</w:t>
      </w:r>
    </w:p>
    <w:p>
      <w:r>
        <w:t>En conséquence, il n'est pas perçu de frais de procédure.</w:t>
      </w:r>
    </w:p>
    <w:p>
      <w:r>
        <w:rPr>
          <w:b/>
        </w:rPr>
        <w:t>E. 9.4</w:t>
      </w:r>
    </w:p>
    <w:p>
      <w:r>
        <w:t>Dans la mesure où sa conclusion tendant à l'annulation du point 6 de la décision du SEM (perception de l'émolument) est admise, la recourante a droit à des dépens réduits (art. 64 al. 1 PA et art. 7 al. 2 FITAF). Ceux-ci sont fixés sur la base du dossier, en tenant compte de la note de frais du 18 juin 2020 également annexée au recours. Ils sont arrêtés à 150 francs, s'agissant d'une conclusion touchant à un point accessoire de la décision et qui n'a pas nécessité un travail important de la part de la mandataire de l'intéressée.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