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E-3132/2017 vom 10. August 2017</w:t>
      </w:r>
    </w:p>
    <w:p>
      <w:r>
        <w:t>Bundesverwaltungsgericht, 2017-08-10, FR</w:t>
      </w:r>
    </w:p>
    <w:p>
      <w:r>
        <w:rPr>
          <w:b/>
        </w:rPr>
        <w:t xml:space="preserve">Quelle: </w:t>
      </w:r>
      <w:r>
        <w:t>https://mcp.opencaselaw.ch/entscheid/bvger_E-3132_2017</w:t>
      </w:r>
    </w:p>
    <w:p>
      <w:r>
        <w:t>FR: TAF E-3132/2017 du 10 août 2017</w:t>
      </w:r>
    </w:p>
    <w:p>
      <w:r>
        <w:t>IT: TAF E-3132/2017 del 10 agosto 2017</w:t>
      </w:r>
    </w:p>
    <w:p>
      <w:pPr>
        <w:pStyle w:val="Heading2"/>
      </w:pPr>
      <w:r>
        <w:t>Regeste</w:t>
      </w:r>
    </w:p>
    <w:p>
      <w:r>
        <w:t>Asile (sans exécution du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 délai prescrits par la loi, le recours est recevable (art. 48 et 52 PA et art. 108 LAsi).</w:t>
      </w:r>
    </w:p>
    <w:p>
      <w:r>
        <w:rPr>
          <w:b/>
        </w:rPr>
        <w:t>E. 1.3</w:t>
      </w:r>
    </w:p>
    <w:p>
      <w:r>
        <w:t>Force est de constater d'entrée de cause que la conclusion du recourant tendant à ce qu'une autorisation de séjour (« permis B) lui soit délivrée, non seulement excède le cadre du litige, mais ne relève pas en tant que telle de la compétence du Tribunal ; elle doit donc être déclarée irrecevable.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JICRA 2000 n° 9 consid. 5a p. 78 et JICRA 1997 n ° 10 consid. 6 p. 73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(cf. JICRA 1994 n° 24 p. 171ss et JICRA 1993 n° 11 p. 67ss).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2010/57 consid. 2.5 ainsi que les références de jurisprudence et de doctrine citées).</w:t>
      </w:r>
    </w:p>
    <w:p>
      <w:r>
        <w:rPr>
          <w:b/>
        </w:rPr>
        <w:t>E. 3.1</w:t>
      </w:r>
    </w:p>
    <w:p>
      <w:r>
        <w:t>Le recourant allègue qu'en tant que Kurde Ajnabi, donc ne jouissant pas de la nationalité syrienne, mais étant enregistré comme étranger, il aurait fait l'objet d'entraves à la vie quotidienne et aurait été arrêté et maltraité du fait de son statut.</w:t>
      </w:r>
    </w:p>
    <w:p>
      <w:r>
        <w:rPr>
          <w:b/>
        </w:rPr>
        <w:t>E. 3.2</w:t>
      </w:r>
    </w:p>
    <w:p>
      <w:r>
        <w:t>Il y lieu d'observer d'emblée que la seule appartenance à l'ethnie kurde ne saurait entraîner la reconnaissance de la qualité de réfugié, (cf. en particulier l'arrêt du Tribunal administratif fédéral E-5122/2015 du 16 septembre 2015 consid. 6.4, et les autres arrêts cités ; sur les exigences très élevées quant à la reconnaissance d'une persécution collective, cf. ATAF 2011/16 consid. 5 et les références citées). Plus spécifiquement, s'agissant des discriminations dont feraient l'objet les Kurdes Ajnabi, le Tribunal a considéré qu'il n'existait pas non plus de persécution collective à leur égard (cf. arrêt du Tribunal administratif fédéral D-6551/2016 du 28 mars 2017 consid. 5.4 et les références citées). Dès lors, appartenir au groupe des Kurdes Ajnabi n'est pas pertinent pour se voir reconnaître la qualité de réfugié au sens de l'art. 3 LAsi (arrêt du Tribunal administratif fédéral E-919/2014 du novembre 2014 consid. 5.1). Cela dit, la situation des Kurdes Ajnabi s'est améliorée après le décret du 7 avril 2011 du président syrien Bachar el-Assad accordant la citoyenneté à des habitants d'origine kurde du gouvernorat de D._______, province où le recourant dit avoir vécu entre 2012 et son départ de Syrie en 2015 (cf. notamment arrêt ATAF D-1178/2012 et D-1186/2012). A noter que le recourant a reconnu lui-même qu'il pouvait accéder à la nationalité syrienne, mais qu'il y avait renoncé pour échapper au service militaire. Dans ces conditions rien ne laisse présager qu'il court un danger particulier du fait de son appartenance ethnique, sachant au demeurant que la région de D._______, où il a vécu jusqu'en 2015, se trouve actuellement aux mains du PYD kurde.</w:t>
      </w:r>
    </w:p>
    <w:p>
      <w:r>
        <w:rPr>
          <w:b/>
        </w:rPr>
        <w:t>E. 3.3</w:t>
      </w:r>
    </w:p>
    <w:p>
      <w:r>
        <w:t>S'agissant plus particulièrement de sa prétendue interpellation par la police et des violences dont il aurait été la cible, le recourant n'en a fait état que lors de la seconde audition. Or il n'est pas cohérent qu'il n'ait pas évoqué cet événement au cours de la première audition déjà, alors que la possibilité lui en avait été donnée. Certes, le recourant soutient le contraire en prétendant qu'il n'aurait pas pu développer ses propos à cette occasion. Ce grief n'est toutefois guère défendable dans la mesure où la question lui a été précisément posée de savoir si sa participation aux manifestations avait eu des conséquences pour sa vie. Dans ces conditions un sérieux doute se fait jour sur la réalité de cet évènement. Au demeurant, si cet épisode devait s'être réellement produit, le recourant n'a pas laissé entendre qu'il aurait été en rapport avec son statut de Kurde Ajnabi, puisque les policiers étaient censés l'avoir surpris en train de fuir les abords d'une manifestation alors qu'il accompagnait sa mère à l'hôpital. Par ailleurs, il a indiqué qu'il avait été relâché après avoir expliqué la situation à un officier et déposé ses empreintes. Or il ne fait guère de doute, vu la situation en Syrie, que si les autorités avaient eu à lui reprocher une véritable activité d'opposant, elles ne l'auraient pas libéré en lui disant simplement de ne plus adopter pareil comportement. Le recourant a certes déclaré avoir participé à de petites manifestations, cependant il n'y aurait pas joué de rôle particulier se contentant de défiler et de scander des slogans avec la foule, ce qui n'est pas révélateur d'une activité qui aurait pu le placer spécialement dans le collimateur des autorités. De plus, il n'aurait jamais été interpellé à l'issue ces manifestations. Selon ses propres dires, en effet, lorsque les autorités se présentaient au domicile familial, c'était dans le but d'obtenir des informations sur son frère aîné et non sur lui. Dans ces conditions, une persécution pour des raisons ethniques ou politiques est à exclure.</w:t>
      </w:r>
    </w:p>
    <w:p>
      <w:r>
        <w:rPr>
          <w:b/>
        </w:rPr>
        <w:t>E. 3.4</w:t>
      </w:r>
    </w:p>
    <w:p>
      <w:r>
        <w:t>Cela dit, bien que dans le recours l'éventualité d'une persécution réflexe n'est pas évoquée, il y a lieu de relever qu'un tel risque n'existe pas dans le cas de l'intéressé. En effet, quand bien même les autorités se seraient rendues à plusieurs reprises au domicile familial à la recherche d'informations sur son frère aîné et qu'il aurait été à plusieurs reprises contrôlé dans la rue et interrogé sur ses frères, il n'en découle nullement qu'il aurait été personnellement menacé de représailles du fait de leurs agissements (cf. à ce sujet ATAF 2010/57 consid. 4.1.3).</w:t>
      </w:r>
    </w:p>
    <w:p>
      <w:r>
        <w:rPr>
          <w:b/>
        </w:rPr>
        <w:t>E. 3.5</w:t>
      </w:r>
    </w:p>
    <w:p>
      <w:r>
        <w:t>Le recourant a encore déclaré avoir quitté la Syrie en raison de la situation difficile engendrée par la guerre civile et de l'insécurité qui y régnait, notamment de par la montée en puissance de l'organisation Etat islamique. Sur ce point, il y a toutefois lieu d'observer que les préjudices subis dans le cadre d'un conflit auquel toute la population est exposée, ne peuvent être considérés que comme des conséquences indirectes de la situation de guerre civile. Ils ne sont donc pas le résultat d'une volonté de persécution ciblée en raison de l'un des motifs énumérés à l'art. 3 LAsi et ne sont donc pas déterminants pour l'octroi de l'asile (ATAF E-958/2015 du 10 mars 2017 consid. 3.3). Il en va de même pour la destruction de sa maison familiale à B._______. Rien n'indique qu'elle ait été spécifiquement visée du fait que le recourant y aurait vécu.</w:t>
      </w:r>
    </w:p>
    <w:p>
      <w:r>
        <w:rPr>
          <w:b/>
        </w:rPr>
        <w:t>E. 3.6</w:t>
      </w:r>
    </w:p>
    <w:p>
      <w:r>
        <w:t>Enfin, sur le plan militaire, il y lieu de relever que le recourant n'a pas voulu obtenir la nationalité syrienne, alors que la possibilité lui était ouverte (cf. consid. 3.2 ci-dessus), pour ne pas devoir être enrôlé dans l'armée, raison pour laquelle il se serait, au surplus, rajeuni au moment de se faire établir sa carte de Kurde Ajnabi. En tout état de cause, le recourant n'a reçu aucune convocation des autorités syriennes - ni d'ailleurs des forces kurdes - et ne pourrait donc se voir accusé de refus de servir, voire de désertion. Le Tribunal rappelle, à ce propos, que s'agissant de l'armée syrienne les sanctions frappant les réfractaires ou les déserteurs ne constituent un motif d'asile que si l'appelé a été repéré comme étant favorable à l'opposition (cf. art. 3 al. 3 LAsi et ATAF 2015/3 p. 32ss) ; ce que le recourant n'a cependant pas établi. Quant à un recrutement au sein des forces kurdes, à supposer que cette éventualité soit avérée, rien ne permet de présager en l'état que les sanctions pour s'y être soustrait revêtiraient le caractère d'une persécution (cf. ATAF 2015/3 p. 32ss et arrêt du Tribunal administratif fédéral D-5329/2014 du 23 juin 2015, consid. 5.3 et réf. citées).</w:t>
      </w:r>
    </w:p>
    <w:p>
      <w:r>
        <w:rPr>
          <w:b/>
        </w:rPr>
        <w:t>E. 4</w:t>
      </w:r>
    </w:p>
    <w:p>
      <w:r>
        <w:t>Dans ces conditions, c'est à juste titre que le SEM n'a pas reconnu la qualité de réfugié à l'intéressé et a refusé de lui octroyer l'asile. Ainsi, le SEM n'ayant pas violé le droit fédéral ni établi de manière inexacte et incomplète l'état de fait pertinent (art. 106 al. 1 LAsi), le recours doit être rejeté.</w:t>
      </w:r>
    </w:p>
    <w:p>
      <w:r>
        <w:rPr>
          <w:b/>
        </w:rPr>
        <w:t>E. 5</w:t>
      </w:r>
    </w:p>
    <w:p>
      <w:r>
        <w:t>Vu l'issue de la cause, en l'absence d'un motif justifiant d'y renoncer (art. 63 al. 4 PA), il y a lieu de mettre les frais de procédure à la charge du recourant, conformément à l'art. 63 al. 1 PA et aux art. 2 et 3 let. b du règlement du 21 février 2008 concernant les frais, dépens et indemnités fixés par le Tribunal administratif fédéral (FITAF, RS 173.320.2). En l'occurrence, les frais de procédure sont fixés à 750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