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E-3129/2020 vom 15. Mai 2020</w:t>
      </w:r>
    </w:p>
    <w:p>
      <w:r>
        <w:t>Bundesverwaltungsgericht, 2020-05-15, DE</w:t>
      </w:r>
    </w:p>
    <w:p>
      <w:r>
        <w:rPr>
          <w:b/>
        </w:rPr>
        <w:t xml:space="preserve">Quelle: </w:t>
      </w:r>
      <w:r>
        <w:t>https://mcp.opencaselaw.ch/entscheid/bvger_E-3129_2020_d20200515</w:t>
      </w:r>
    </w:p>
    <w:p>
      <w:r>
        <w:t>FR: TAF E-3129/2020 du 15 mai 2020</w:t>
      </w:r>
    </w:p>
    <w:p>
      <w:r>
        <w:t>IT: TAF E-3129/2020 del 15 maggio 2020</w:t>
      </w:r>
    </w:p>
    <w:p>
      <w:pPr>
        <w:pStyle w:val="Heading2"/>
      </w:pPr>
      <w:r>
        <w:t>Regeste</w:t>
      </w:r>
    </w:p>
    <w:p>
      <w:r>
        <w:t>Asyl und Wegweisung | Asyl und Wegweisung; Verfügung des SEM vom 15.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w:t>
      </w:r>
    </w:p>
    <w:p>
      <w:r>
        <w:t>E-3129/2020 Seite 8 richten sich im Asylbereich nach Art. 106 Abs. 1 AsylG, im Bereich des Aus- länderrechts nach Art. 49 VwVG (vgl. BVGE 2014/26 E. 5).</w:t>
      </w:r>
    </w:p>
    <w:p>
      <w:r>
        <w:rPr>
          <w:b/>
        </w:rPr>
        <w:t>E. 3.1</w:t>
      </w:r>
    </w:p>
    <w:p>
      <w:r>
        <w:t>Das SEM stützte seinen Entscheid in erster Linie auf das Ergebnis der Botschaftsabklärungen. Zwar habe der Beschwerdeführer in den Befra- gungen seine Vorbringen glaubhaft und logisch konsistent geschildert. Die Abklärung mit der Schweizer Botschaft in Teheran habe aber ergeben, dass die eingereichten Beweismittel Totalfälschungen seien. Seine Erklä- rung, es handle sich um geheime Verfahren, stehe im Widerspruch zu der Aussage, das definitive Urteil sei seinem Anwalt zugestellt worden. An der im Rahmen des rechtlichen Gehörs angegebenen Adresse gebe es tat- sächlich eine Kammer (…) des allgemeinen Strafgerichts, aber nicht des Revolutionsgerichts. Das eigentlich zuständige Revolutionsgericht befinde sich an einer anderen Adresse. Der im Gerichtsurteil angewandte Geset- zeskodex sei veraltet und im Jahr 1392 (nach gregorianischem Kalender: 2013) durch einen neuen ersetzt worden. Selbst wenn das Gericht noch das alte Strafgesetzbuch angewandt hätte, entsprächen die verhängten Strafen nicht den damaligen Gesetzesartikeln. Der Beschwerdeführer sei weder polizeilich gesucht, noch existiere gegen ihn eine Reisesperre und es bestünden auch keine Einschränkungen in Bezug auf die Ausstellung von Reisedokumenten. Sein Asylgesuch habe er damit begründet, dass er aus Angst vor einer drohenden Verurteilung ausgereist sei, was sich nun durch die Verhängung eines Strafurteils bestätigt habe. Somit stelle das Gerichtsurteil das zentrale Argument seiner Asylvorbringen dar. Diesem sei nun durch die Erkenntnis, dass es sich um eine Fälschung handle, die Grundlage entzogen.</w:t>
      </w:r>
    </w:p>
    <w:p>
      <w:r>
        <w:rPr>
          <w:b/>
        </w:rPr>
        <w:t>E. 3.2</w:t>
      </w:r>
    </w:p>
    <w:p>
      <w:r>
        <w:t>Der Beschwerdeführer bestritt in seiner Beschwerde die Richtigkeit des Ergebnisses der Botschaftsabklärung. Es erscheine logisch, dass Informa- tionen über Gerichtsverfahren an die Betroffenen und deren Anwälte wei- tergegeben würden, selbst wenn es sich um geheime Verfahren handle. Gerichtsdokumente würden hingegen nicht an Dritte weitergegeben, wes- halb zu bezweifeln sei, dass die Vertrauensperson der Schweizer Botschaft von solchen erfahren hätte. Die verschiedenen Gerichte in Iran, deren Ab- teilungen und die hängigen Fälle würden nicht klar getrennt. Ausserdem sei sein Vergehen unter «Tahajom-e Farhangi» (Fälle von kulturellen An- griffen) zu subsumieren, weil er den Messengerdienst «Telegram» be- nutze. Die Richter an den iranischen Revolutionsgerichten hätten oft eine ungenügende juristische Ausbildung, weshalb Fehler auf offiziellen Doku- menten üblich seien.</w:t>
      </w:r>
    </w:p>
    <w:p>
      <w:r>
        <w:t>E-3129/2020 Seite 9 Aufgrund seiner Konversion zum Christentum und der aktiven Ausübung des christlichen Glaubens in der Schweiz wäre er im heutigen Zeitpunkt ernsthaften Nachteilen ausgesetzt.</w:t>
      </w:r>
    </w:p>
    <w:p>
      <w:r>
        <w:rPr>
          <w:b/>
        </w:rPr>
        <w:t>E. 3.3</w:t>
      </w:r>
    </w:p>
    <w:p>
      <w:r>
        <w:t>In ihrer Vernehmlassung vom 7. Juli 2020 hielt die Vorinstanz fest, es bestünden keine Anhaltspunkte für ein behördliches Interesse am Be- schwerdeführer. Daran vermöge auch sein in der Schweiz fortgeführtes christliches Engagement nichts zu ändern. Den Akten könnten keine Hin- weise dafür entnommen werden, wonach die iranischen Behörden davon Kenntnis genommen oder gestützt darauf Massnahmen zu seinem Nach- teil eingeleitet hätten. Von einer Gefahr, dass er den iranischen Behörden aufgrund seiner Konversion zum Christentum besonders aufgefallen wäre, sei nicht auszugehen.</w:t>
      </w:r>
    </w:p>
    <w:p>
      <w:r>
        <w:rPr>
          <w:b/>
        </w:rPr>
        <w:t>E. 3.4</w:t>
      </w:r>
    </w:p>
    <w:p>
      <w:r>
        <w:t>In seiner Replik vom 29. Juli 2020 machte der Beschwerdeführer gel- tend, er habe erfahren, dass vier Mitglieder der von ihm besuchten Haus- kirche (J._______, K._______, L._______ und B._______) in Iran inhaftiert worden seien. Der Replik legte er einen Chatverlauf in persischer Sprache bei, durch welchen er von seinem Bekannten H._______ über diese Um- stände informiert worden sei. Die vier Personen seien in Haft auch zum Aufenthaltsort des Beschwerdeführers befragt worden, woraufhin diese ausgesagt hätten, er befinde sich nicht mehr in Iran. Es sei denkbar, dass sie auch zu seinem Glauben und dessen Ausübung in der Schweiz befragt worden seien. Die iranischen Behörden hätten in seinem Haus eine Bibel gefunden und bei einem anderen Hauskirchenmitglied sei der Laptop be- schlagnahmt worden. Deshalb sei davon auszugehen, dass sie auch von seiner Konversion wüssten. Seine Frau habe ihm mitgeteilt, die Familie sei starkem Druck ausgesetzt und sie stünden vor schwierigen Problemen. Er nehme an, seine Familie werde von Mitgliedern der Sepah bedrängt und könne telefonisch nicht detailliert über diese Probleme sprechen, da die Gefahr bestehe, dass die Telefongespräche abgehört würden.</w:t>
      </w:r>
    </w:p>
    <w:p>
      <w:r>
        <w:rPr>
          <w:b/>
        </w:rPr>
        <w:t>E. 3.5</w:t>
      </w:r>
    </w:p>
    <w:p>
      <w:r>
        <w:t>Mit Eingabe vom 12. November 2020 teilte der Beschwerdeführer dem Gericht mit, gegen die obengenannten Mitglieder seiner Hauskirche sei nun ein Urteil ergangen. Die (…) Abteilung des Revolutionsgerichts habe sie wegen Gefährdung der nationalen Sicherheit, Konversion zum Chris- tentum und Missionieren zu je fünf beziehungsweise zehn Jahren Haft ver- urteilt. Er habe dies von seinem Bekannten sowie vom Bruder von B._______ erfahren. Der Eingabe legte er die entsprechenden Chatver- läufe auf Persisch mit diesen zwei Personen bei und reichte am 27. Januar</w:t>
      </w:r>
    </w:p>
    <w:p>
      <w:r>
        <w:t>E-3129/2020 Seite 10 2021 einen Medienbericht von «Manoto TV» betreffend die Verurteilung nach (vgl. oben Bst. J).</w:t>
      </w:r>
    </w:p>
    <w:p>
      <w:r>
        <w:rPr>
          <w:b/>
        </w:rPr>
        <w:t>E. 3.6</w:t>
      </w:r>
    </w:p>
    <w:p>
      <w:r>
        <w:t>Anlässlich des zweiten Schriftenwechsels hielt die Vorinstanz am 23. Februar 2021 fest, dass den eingereichten Chatverläufen betreffend die verhafteten Mitglieder der Hauskirche nur ein niedriger Beweiswert zu- komme, da diese aus reiner Gefälligkeit hätten erstellt werden können. Ausserdem habe der Beschwerdeführer nicht dargelegt, ob er die genann- ten Personen alle persönlich kenne oder damit einfach belegen wolle, dass die iranischen Behörden gegen Christen vorgingen. Der rund 30 Sekunden dauernde Ausschnitt von «Manoto TV» berichte zwar ebenfalls von der Verhaftung der Mitglieder der Hauskirche. Da aber keine weiteren Informa- tionen oder Quellen genannt würden, sei nicht von einem seriösen journa- listischen Beitrag auszugehen. Vor dem Hintergrund seiner Aussagen, die besagte Hauskirche sei bereits Ende 2017 in den Fokus der Behörden ge- raten, sei bemerkenswert, dass es erst mehr als drei Jahre später und ge- nau nach dem ablehnenden Asylentscheid zur Verhaftung der Mitglieder gekommen sei. Gemäss seinen Angaben sei ein Urteil ergangen, wofür er aber keine Belege vorgelegt habe. Die Aussage seiner Ehefrau, vor (…) Monaten sei sie von zwei Personen in Zivil angegriffen worden, sei als reine Gefälligkeitsaussage zu werten.</w:t>
      </w:r>
    </w:p>
    <w:p>
      <w:r>
        <w:rPr>
          <w:b/>
        </w:rPr>
        <w:t>E. 3.7</w:t>
      </w:r>
    </w:p>
    <w:p>
      <w:r>
        <w:t>Dem entgegnete der Beschwerdeführer in seiner Stellungnahme vom 12. März 2021, er habe in der Anhörung B._______ als Kollegen bezeich- net, der ihn zur Hauskirche geführt habe. In der ergänzenden Anhörung habe er präzisiert, dass er durch ihn erstmals mit dem Christentum in Be- rührung gekommen sei. Bezüglich K._______ und M._______ habe er ausgesagt, dass die Hauskirchentreffen jeweils bei ihnen stattgefunden hätten. Auch L._______ habe er in der ergänzenden Anhörung erwähnt. Angesichts der detaillierten Schilderung der Inhaftierung seiner Freunde sowie der eingereichten Beweismittel sei von der Echtheit der eingereich- ten Chatverläufe auszugehen. Von einer Nachrichtensendung, welche mehrere Themen in kurzer Zeit abhandle, seien keine detaillierten Quellen- angaben zu erwarten. Dies spreche jedoch keineswegs gegen die Glaub- würdigkeit der Sendung. Er habe in beiden Anhörungen beschrieben, dass seine Kollegen C._______ und B._______ verhaftet worden seien. In der ergänzenden Anhörung habe er dargelegt, gegen wen ein Verfahren ein- geleitet worden sei und dass dieses noch nicht abgeschlossen sei.</w:t>
      </w:r>
    </w:p>
    <w:p>
      <w:r>
        <w:t>E-3129/2020 Seite 11</w:t>
      </w:r>
    </w:p>
    <w:p>
      <w:r>
        <w:rPr>
          <w:b/>
        </w:rPr>
        <w:t>E. 3.8</w:t>
      </w:r>
    </w:p>
    <w:p>
      <w:r>
        <w:t>In seiner Stellungnahme zur Botschaftsabklärung vom 27. Januar 2022 machte der Beschwerdeführer geltend, die Unparteilichkeit und die Neut- ralität des Vertrauensanwalts der Schweizer Botschaft müssten angezwei- felt werden. Über Verfahren vor dem Revolutionsgericht würden nämlich keine Informationen veröffentlicht und auch iranische Rechtsanwälte hät- ten keinen Zugriff darauf. Daher könne nicht ausgeschlossen werden, dass der Vertrauensanwalt über Beziehungen zu den iranischen Behörden ver- füge, weshalb der Beschwerdeführer befürchte, dass Iran über Informatio- nen zu seinem Aufenthaltsort und zu seinem in der Schweiz gestellten Asyl- gesuch verfüge. Die unzulängliche Recherche des Vertrauensanwalts zeige sich auch darin, dass er eine falsche Adresse der Eltern angegeben und nicht erkannt habe, dass der Beschwerdeführer an einer anderen – von ihm an der Anhörung angegebenen – Adresse gewohnt habe.</w:t>
      </w:r>
    </w:p>
    <w:p>
      <w:r>
        <w:rPr>
          <w:b/>
        </w:rPr>
        <w:t>E. 4.1</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Die Behörde ist dabei jedoch nicht verpflichtet, zu jedem Sachverhaltselement umfangreiche Nachforschungen anzustellen. Zusätzliche Abklärungen sind nur dann vorzunehmen, wenn sie aufgrund der Aktenlage als ange- zeigt erscheinen (vgl. dazu AUER/BINDER, in: Auer/Müller/Schindler [Hrsg.], Kommentar zum Bundesgesetz über das Verwaltungsverfahren [VwVG], 2. Aufl. 2019, Rz. 16 zu Art. 12). Ihre Grenze findet die Untersuchungs- pflicht in der Mitwirkungspflicht der Asylsuchenden (vgl. Art. 8 AsylG).</w:t>
      </w:r>
    </w:p>
    <w:p>
      <w:r>
        <w:rPr>
          <w:b/>
        </w:rPr>
        <w:t>E. 4.2</w:t>
      </w:r>
    </w:p>
    <w:p>
      <w:r>
        <w:t>Im Beschwerdeverfahren vor dem Bundesverwaltungsgericht dürfen im Rahmen des Streitgegenstandes bisher noch nicht gewürdigte, bekannte wie auch bis anhin unbekannte neue Sachverhaltsumstände, die sich zeit- lich vor (sog. unechte Noven) oder erst im Laufe des Rechtsmittelverfah- rens (sog. echte Noven) zugetragen haben, vorgebracht werden. Gleiches gilt für neue Beweismittel. Die Behörde muss mithin jederzeit Vorbringen zum Sachverhalt entgegennehmen und berücksichtigen, falls sie diese für rechtserheblich hält (vgl. Art. 32 Abs. 2 VwVG). Für den Beschwerdeent- scheid ist die im Zeitpunkt seiner Ausfällung bestehende Aktenlage mass- geblich. Die angefochtene Verfügung des SEM hat sich mithin auch gegen- über den im Verlauf des Beschwerdeverfahrens dazugekommenen Tatsa- chen und Beweismitteln zu bewähren (vgl. BVGE 2012/21 E. 5.1 m.w.H.).</w:t>
      </w:r>
    </w:p>
    <w:p>
      <w:r>
        <w:t>E-3129/2020 Seite 12</w:t>
      </w:r>
    </w:p>
    <w:p>
      <w:r>
        <w:rPr>
          <w:b/>
        </w:rPr>
        <w:t>E. 4.3.1</w:t>
      </w:r>
    </w:p>
    <w:p>
      <w:r>
        <w:t>Die Vorinstanz befand die Vorbringen des Beschwerdeführers für un- glaubhaft. Sie hielt dabei fest, dass er seine Fluchtgründe zwar logisch konsistent und glaubhaft geschildert habe. Das eingereichte Gerichtsurteil – welches das zentrale Argument seiner Asylgründe darstelle – habe sich aber als Fälschung herausgestellt. Dies wiege zu schwer, als dass seine Asylbegründung dennoch glaubhaft sein könnte. Vor dem Hintergrund der auf Beschwerdeebene eingereichten Beweismit- tel sowie der inzwischen dazugekommenen Sachverhaltselemente greift diese Darstellung zu kurz.</w:t>
      </w:r>
    </w:p>
    <w:p>
      <w:r>
        <w:rPr>
          <w:b/>
        </w:rPr>
        <w:t>E. 4.3.2</w:t>
      </w:r>
    </w:p>
    <w:p>
      <w:r>
        <w:t>Zunächst ist festzustellen, dass die Analyse der Schweizer Botschaft in Teheran vom 7. März 2020 im vorliegenden Fall Anlass zu gewissen Zweifeln gibt. Insbesondere betreffend den Einwand im Bericht des Ver- trauensanwalts, das Urteil verwende veraltete Gesetze (vgl. SEM act. 35/16 S. 3), ist anzumerken, dass das iranische Strafgesetzbuch von 1995/1996 im Jahr 2012/2013 nicht komplett revidiert wurde. Einige Ge- setzesartikel – darunter auch fast alle im besagten Urteil verwendeten – sind nach wie vor in Kraft (vgl. Landinfo / Office of the Commissioner Ge- neral for Refugees and Stateless Persons (CGRS-CEDOCA), Staatssek- retariat für Migration (SEM), Iran – Criminal procedures and documents, Dezember 2021, &lt; https://landinfo.no/wp-content/uploads/2021/12/Iran-re- port-criminal-procedures-and-documents-122021-4.pdf. &gt;, Iran Human Rights Documentation Center (IHRDC), Islamic Penal Code of the Islamic Republic of Iran – Book Five, 15. Juli 2013, &lt; https://iranhrdc.org/islamic- penal-code-of-the-islamic-republic-of-iran-book-five/ &gt;, beide abgerufen am 13. November 2024). Unter diesen Umständen erscheint der pau- schale Vorhalt im Bericht des Vertrauensanwalts, das besagte Urteil er- wähne veraltete Gesetze, wenig überzeugend. Ferner weckt auch die An- gabe, die im Urteil erwähnte Strafe (insgesamt […] Jahre Haft, […] Peit- schenhiebe und eine Geldstrafe von […] Iranische Rial) stimme mit den im iranischen Strafgesetz angedrohten Strafen nicht überein, erhebliche Zwei- fel, führt doch das besagte Urteil mehrere Artikel des iranischen Strafge- setzbuches an, welche teilweise sowohl Peitschenhiebe als auch Geldstra- fen und Freiheitsstrafen mit variierendem Strafmass als mögliche Strafen vorsehen. Insgesamt vermag die vorinstanzliche Schlussfolgerung, die Vorbringen des Beschwerdeführers seien angesichts der Ergebnisse der Botschafts-</w:t>
      </w:r>
    </w:p>
    <w:p>
      <w:r>
        <w:t>E-3129/2020 Seite 13 abklärung als unglaubhaft zu werten, mit Blick auf die teilweise sehr unprä- zisen Ausführungen im Bericht des Vertrauensanwalts nicht zu überzeu- gen. Die Frage, ob und inwieweit die Ergebnisse der Botschaftsabklärung kor- rekt sind, braucht aber angesichts des Verfahrensausgangs und der nach- folgenden Erwägungen nicht weiter erörtert zu werden.</w:t>
      </w:r>
    </w:p>
    <w:p>
      <w:r>
        <w:rPr>
          <w:b/>
        </w:rPr>
        <w:t>E. 4.3.3</w:t>
      </w:r>
    </w:p>
    <w:p>
      <w:r>
        <w:t>Auf Beschwerdeebene teilte der Beschwerdeführer dem Gericht je- weils neue Ereignisse zu den hängigen Strafverfahren seiner Bekannten mit, welche die gleiche Hauskirche besucht hätten wie er, und reichte dies- bezüglich insbesondere den Ausschnitt einer Nachrichtensendung von «Manoto TV» vom […] 2020 ein, aus welcher hervorgeht, dass J._______, K._______, L._______ und B._______ insgesamt zu 35 Jahren Haft we- gen Verstosses gegen die nationale Sicherheit aufgrund der Gründung ei- ner Hauskirche verurteilt worden seien. Einem öffentlich zugänglichen Bericht vom 30. Januar 2021 ist zu entneh- men, dass B._______, N._______, K._______ und J._______ am (…) 2019 im Rahmen von Hausdurchsuchungen festgenommen worden seien (vgl. […], abgerufen am 13. November 2024). Am (…) 2019 seien sie ge- gen eine Bürgschaft aus der Haft entlassen worden. Am (…) 2020 seien sie wegen Handlungen gegen die nationale Sicherheit und Gründung einer illegalen evangelischen christlichen Gruppe verurteilt worden und befän- den sich weiterhin in Haft (vgl. […], alle abgerufen am 13. November 2024). Die Aussagen des Beschwerdeführers in den Befragungen decken sich mit den Informationen aus den – teilweise erst später (Dezember 2020 bezie- hungsweise Januar 2021) erschienenen – Medienberichten zu den oben- genannten Strafverfahren und den darauffolgenden Verurteilungen. Bei- spielsweise erwähnte er bereits in der Anhörung vom 5. Februar 2020, dass B._______ im Jahr 2019 ungefähr (…) Tage nach seiner Rückkehr nach Iran festgenommen worden sei (vgl. SEM act. 18/14 F79). In der er- gänzenden Anhörung vom 2. April 2020 präzisierte er auf Nachfrage, B._______ sei vor etwas mehr als (…) festgenommen worden. Am (…) 2019 sei er wieder freigelassen worden (vgl. SEM act. 31/21 F28). Ferner erwähnte er bereits in seiner Replik vom 29. Juli 2020, die vier obenge- nannten Mitglieder seiner Hauskirche seien Mitte (…) 2020 festgenommen worden (vgl. a.a.O.). Die Berichte enthalten teilweise Fotos von B._______ und J._______. Ein Vergleich der vom Beschwerdeführer eingereichten und authentisch wirkenden Fotos, auf welchen er mit seinen Bekannten</w:t>
      </w:r>
    </w:p>
    <w:p>
      <w:r>
        <w:t>E-3129/2020 Seite 14 aus der Hauskirche zu sehen sei, lässt erkennen, dass es sich dabei um die gleichen Personen handelt. J._______ ist sodann auch im Video zu erkennen, das der Beschwerdeführer am 28. September 2023 dem Gericht zukommen liess. Darin wendet sich J._______ an das «Schweizer Ge- richt» und bestätigt, er sei wegen des Verstosses gegen die nationale Si- cherheit sowie wegen der Führung von Hauskirchen zu fünf Jahren Haft verurteilt worden. A._______ (der Beschwerdeführer) sei ebenfalls in das Verfahren involviert und dessen Ehefrau sei mit seiner Mutter in Kontakt. In der Eingabe vom 27. Januar 2021 hatte der Beschwerdeführer diesen Kontakt erwähnt; seine Ehefrau sei von Zivilpersonen angegriffen worden, nachdem sie die Mutter von J._______ besucht habe (a.a.O. S. 2). Dass er die genannten Personen persönlich kennt, ist somit belegt. Akten- widrig ist sodann der Vorhalt des SEM in seiner zweiten Vernehmlassung vom 23. Februar 2021, der Beschwerdeführer habe versäumt genau dar- zulegen, in welcher Verbindung er zu den genannten Personen stehe. Den Akten lässt sich vielmehr entnehmen, dass der Beschwerdeführer drei der vier Personen – B._______, J._______ und K._______ – bereits in der Be- fragung vom 5. Februar 2020 erwähnt hatte (vgl. SEM act. 31/21 F24 ff., F38). Seine Beziehung zu B._______, welcher ihm das Christentum nä- hergebracht haben soll, schilderte er zudem sehr ausführlich (vgl. a.a.O. F35). Ausserdem legte er in derselben Befragung dar, mit B._______ und J._______ in Kontakt zu stehen (vgl. a.a.O. F24). Vor diesem Hintergrund erwecken die Ausführungen der Vorinstanz in der Vernehmlassung vom 23. Februar 2021 den Eindruck, diese habe sich nicht hinlänglich mit dem Dossier befasst und insbesondere die seit Erlass der angefochtenen Verfügung eingetretenen Ereignisse nicht berücksich- tigt. Insgesamt lassen die Erwägungen der Vorinstanz somit eine umfas- sende Abwägung der Elemente, die für und gegen die Glaubhaftigkeit des Vorgetragenen sprechen, vermissen.</w:t>
      </w:r>
    </w:p>
    <w:p>
      <w:r>
        <w:rPr>
          <w:b/>
        </w:rPr>
        <w:t>E. 4.4</w:t>
      </w:r>
    </w:p>
    <w:p>
      <w:r>
        <w:t>Der Beschwerdeführer hat glaubhaft dargelegt, dass er in einer Bezie- hung sowohl zu B._______ steht, welcher ihm das Christentum näherge- bracht habe, als auch zu J._______, welcher dem Gericht in einer persön- lichen Videobotschaft die geltend gemachte Verfolgungsgefahr betreffend den Beschwerdeführer schilderte. Diese Personen sind gemäss öffentlich zugänglichen Quellen gemeinsam mit anderen Mitgliedern der Hauskirche, welche der Beschwerdeführer besucht habe, aufgrund ihrer christlichen Aktivitäten zu insgesamt 35 Jahren Haft verurteilt worden. Die Frage, ob</w:t>
      </w:r>
    </w:p>
    <w:p>
      <w:r>
        <w:t>E-3129/2020 Seite 15 dem Beschwerdeführer wegen der glaubhaft gemachten Nähe zur Haus- kirche und deren Mitgliedern eine asylrelevante Verfolgung droht, ist nach dem Gesagten nicht abschliessend geklärt und es drängt sich aufgrund der heute vorliegenden Informationen eine erneute Prüfung auf.</w:t>
      </w:r>
    </w:p>
    <w:p>
      <w:r>
        <w:rPr>
          <w:b/>
        </w:rPr>
        <w:t>E. 5.1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dazu BVGE 2012/21 E. 5). Vorlie- gend liegt der Mangel in einer unvollständigen Sachverhaltsfeststellung, wobei die unterbliebenen notwendigen Abklärungen eine relativ aufwän- 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5.2</w:t>
      </w:r>
    </w:p>
    <w:p>
      <w:r>
        <w:t>Aufgrund der auf Beschwerdeebene eingereichten Dokumente ist das SEM gehalten, weitere Abklärungen zu den Asylgründen des Beschwerde- führers durchzuführen. Nach Erlass der angefochtenen Verfügung sind neue Sachverhaltselemente hinzugekommen, die noch nicht genügend ab- geklärt werden konnten und welche bei der Einschätzung der Glaubhaf- tigkeit sowie der Asylrelevanz seiner Vorbringen eine Rolle spielen könn- ten. Insbesondere ist zu ermitteln, ob er angesichts der strafrechtlichen Verurteilung seiner Bekannten aus der Hauskirche im heutigen Zeitpunkt im Fokus der iranischen Behörden steht und ob dies geeignet ist, eine ob- jektiv begründete Furcht vor asylrelevanter Verfolgung anzunehmen. Der diesbezügliche Sachverhalt ist im heutigen Zeitpunkt nicht ausreichend er- stellt, weshalb es dem Gericht nicht möglich ist, die Gefährdungslage des Beschwerdeführers abschliessend zu beurteilen. Der Beschwerdeführer ist gegebenenfalls erneut anzuhören und seine vorgebrachten Asylgründe sind vor dem Hintergrund der heutigen Aktenlage neu zu beurteilen.</w:t>
      </w:r>
    </w:p>
    <w:p>
      <w:r>
        <w:rPr>
          <w:b/>
        </w:rPr>
        <w:t>E. 5.3</w:t>
      </w:r>
    </w:p>
    <w:p>
      <w:r>
        <w:t>Die Beschwerde ist demnach gutzuheissen. Die angefochtene Verfü- gung ist aufzuheben, und die Sache ist zur vollständigen Feststellung des aktuellen Sachverhalts im Sinne der vorstehenden Erwägungen sowie zur</w:t>
      </w:r>
    </w:p>
    <w:p>
      <w:r>
        <w:t>E-3129/2020 Seite 16 neuen Entscheidung an die Vorinstanz zurückzuweisen. Bei diesem Ver- fahrensausgang erübrigt es sich, auf die übrigen Ausführungen und Rügen in der Beschwerde näher einzugehen.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Rechtsvertreterin hat dem Gericht am 28. September 2023 eine aktu- alisierte Kostennote zukommen lassen, in welcher sie einen zeitlichen Auf- wand von insgesamt 23.75 Stunden zu einem Stundensatz von Fr. 200.– sowie Auslagen von insgesamt Fr. 328.– (Fr. 245.– für den Dolmetscher und Fr. 83.– für Porti, Telefon, Fax und Kopien) geltend macht. Der geltend gemachte Stundenansatz und die Auslagen erscheinen angemessen. Hin- gegen erscheint der zeitliche Aufwand von 23.75 Stunden im Vergleich zu anderen Verfahren gleichen Umfangs als zu hoch und ist auf 18 Stunden zu reduzieren. Gestützt auf die in Betracht zu ziehenden Bemessungsfak- toren (Art. 9–13 VGKE) ist dem Beschwerdeführer zulasten der Vorinstanz eine Parteientschädigung von insgesamt Fr. 3'928.– (inkl. Auslagen) zuzu- sprechen.</w:t>
      </w:r>
    </w:p>
    <w:p>
      <w:r>
        <w:t>E-3129/2020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