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E-3120/2012 vom 18. September 2013</w:t>
      </w:r>
    </w:p>
    <w:p>
      <w:r>
        <w:t>Bundesverwaltungsgericht, 2013-09-18, DE</w:t>
      </w:r>
    </w:p>
    <w:p>
      <w:r>
        <w:rPr>
          <w:b/>
        </w:rPr>
        <w:t xml:space="preserve">Quelle: </w:t>
      </w:r>
      <w:r>
        <w:t>https://mcp.opencaselaw.ch/entscheid/bvger_E-3120_2012</w:t>
      </w:r>
    </w:p>
    <w:p>
      <w:r>
        <w:t>FR: TAF E-3120/2012 du 18 septembre 2013</w:t>
      </w:r>
    </w:p>
    <w:p>
      <w:r>
        <w:t>IT: TAF E-3120/2012 del 18 settembre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1 und 2 sind als Verfügungsadressaten zur Beschwerdeführung legitimiert (Art. 48 VwVG). Die gemeinsame Tochter, die während des Verwaltungsverfahrens geboren wurde, ist durch die angefochtenen Verfügung ebenfalls besonders berührt und hat ein schutzwürdiges Interesse an deren Aufhebung oder Änderung. Sie kann gestützt auf Art. 4 VwVG i.V.m. Art. 15 Abs. 1 des Bundesgesetzes vom 4. Dezember 1947 über den Bundeszivilprozess (BZP, SR 273) dem Prozess als Partei beitreten und ist in das Verfahren einzubeziehen (Beschwerdeführerin 3).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1 (nachfolgend: Beschwerdeführer) bringt vor, dass sein Bruder im Jahre (...) von einem Polizisten getötet worden sei. Er glaube, dass sein Bruder absichtlich getötet worden sei und nicht in Notwehr, wie von der Polizei behauptet. Er habe deshalb ein Verfahren gegen den Polizisten eingeleitet. Der Polizist sei im Jahre (...) erstinstanzlich freigesprochen worden. Er habe den Fall weitergezogen, das Urteil des Kassationshofs sei noch hängig. Er befürchte zudem, aus politischen Gründen von den Behörden verhaftet zu werden. Er sei Mitglied der HADEP (Partei der Demokratie des Volkes) gewesen. In der Folge sei er immer wieder den neugegründeten kurdischen Parteien beigetreten, zuletzt im Jahre 2010, als er Mitglied der BDP (Partei des Friedens und der Demokratie) geworden sei. Zudem sei er für die IHD (Menschenrechtsverein) aktiv gewesen. Er sei in den Jahren (...) bis 2010 sieben bis acht Mal telefonisch bedroht worden, er solle seine Klage zurückziehen und die Parteitätigkeit einstellen. Die Beschwerdeführerin 2 (nachfolgend: Beschwerdeführerin) macht geltend, dass Kurden in der Türkei diskriminiert würden. Vor einigen Jahren sei auf ihr Elternhaus geschossen worden. Weitere Häuser ihres Heimatdorfes seien in Brand gesteckt worden. Sie habe im übrigen keine Gesundheitskarte (grüne Karte) erhalten und habe die Arztbesuche jeweils selber bezahlen müssen.</w:t>
      </w:r>
    </w:p>
    <w:p>
      <w:r>
        <w:rPr>
          <w:b/>
        </w:rPr>
        <w:t>E. 3.2</w:t>
      </w:r>
    </w:p>
    <w:p>
      <w:r>
        <w:t>Die Vorinstanz begründet den angefochtenen Entscheid damit, dass die Vorbringen teils unglaubhaft, teils nicht asylrelevant seien. Die Angaben zu den Drohanrufen enthielten zahlreiche Ungereimtheiten und seien widersprüchlich. Weder der Beschwerdeführer noch die Beschwerdeführerin könnten erklären, wer sie bedroht haben soll. Ferner habe die Beschwerdeführerin angegeben, dass sie alle zwei bis drei Tage Drohanrufe erhalten hätte, der Beschwerdeführer hingegen habe erklärt, dass diese Anrufe zweimal im Jahr stattgefunden hätten. Der Beschwerdeführer wisse zudem auch nichts davon, dass das Haus von Unbekannten mit Steinen beworfen worden sein soll. Schliesslich sei es nicht nachvollziehbar, weshalb der Beschwerdeführer zwar bereit sei, ein jahrelanges Gerichtsverfahren in Kauf zu nehmen, die Drohanrufe indes nicht melden wollte. Es sei zwar allgemein bekannt, dass Kurden Schikanen und Benachteiligungen aller Art ausgesetzt sein könnten. Das Nichterhalten einer grünen Gesundheitskarte und langwierige zweitinstanzliche Verfahren erreichten indes nicht die Intensität der Nachteile, die weite Teile der kurdischen, aber auch der gesamten Bevölkerung in der Türkei in ähnlicher Weise treffen könnten. Der Beschwerdeführer habe als einfaches Parteimitglied einer kurdischen Partei nicht mit strafrechtlicher Verfolgung oder sonstigen ernsthaften Nachteilen zu rechnen. Auch für den IHD sei er nicht an exponierter Stelle tätig gewesen. Es bestehe deshalb keine beachtliche Wahrscheinlichkeit, dass er staatlich verfolgt werden würde.</w:t>
      </w:r>
    </w:p>
    <w:p>
      <w:r>
        <w:rPr>
          <w:b/>
        </w:rPr>
        <w:t>E. 3.3</w:t>
      </w:r>
    </w:p>
    <w:p>
      <w:r>
        <w:t>Der Beschwerdeführer entgegnet, dass es unabhängig von den Unstimmigkeiten eine Tatsache sei, dass er bedroht worden sei. Im Übrigen könne von der Beschwerdeführerin nicht erwartet werden, dass sie von allen Drohungen gewusst habe, da sie nicht bei jeder Drohung dabei gewesen sei. Sein Bruder sei ermordet worden, weil er sich politisch betätigt habe. Die mehrmaligen Drohungen und die Steinigung seines Hauses seien darauf zurückzuführen, dass er sich nicht bereit zeige, die Version der Polizei (Diebstahl / Notwehr) zu akzeptieren. Die Asylrekurskommission habe die Reflexverfolgung für Familienmitglieder von gesuchten und inhaftierten Personen wiederholt anerkannt. Es müsse im vorliegenden Fall zumindest davon ausgegangen werden, dass eine Reflexverfolgung vorliege. Der Beschwerdeführer sei seit 1996 politisch aktiv, zuerst zugunsten der HADEP und dann der BDP. Er sei zwar nur ein einfaches Mitglied, aber auch solche seien polizeilichen Repressionen ausgesetzt. Sein Name sei der Polizei zudem aufgrund des Verfahrens gegen den Polizisten bekannt. Es sei bekannt, dass sich die türkischen Justizbehörden nicht immer an die rechtsstaatlichen Grundprinzipien hielten, insbesondere nicht, wenn die betreffende Person im Zusammenhang mit der PKK (Arbeiterpartei Kurdistans) beziehungsweise der BDP stehe. Die Beschwerdeführerin sei primär wegen der Probleme des Beschwerdeführers geflüchtet. Es werde zwar auch Druck auf sie ausgeübt, jedoch nicht in gleichem Ausmass wie auf ihn.</w:t>
      </w:r>
    </w:p>
    <w:p>
      <w:r>
        <w:rPr>
          <w:b/>
        </w:rPr>
        <w:t>E. 4.1</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2). 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um Asyl nachsuchenden Person zu berücksichtigen (vgl. BVGE 2010/57 E. 2 und die dort genannten Zitate und Literaturhinweise).</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Urteil des Bundesverwaltungsgerichts D-859/2010 vom 10. Oktober 2011 E. 3.2).</w:t>
      </w:r>
    </w:p>
    <w:p>
      <w:r>
        <w:rPr>
          <w:b/>
        </w:rPr>
        <w:t>E. 5.1</w:t>
      </w:r>
    </w:p>
    <w:p>
      <w:r>
        <w:t>Die Vorinstanz hat den Massstab des Glaubhaftmachens nach Art. 7 AsylG auf den vorliegenden Fall korrekt angewendet. Sie hat in der angefochtenen Verfügung einlässlich begründet, weshalb die Vorbringen der Beschwerdeführenden nicht plausibel und in einer Gesamtwürdigung als unglaubhaft ausfielen. Die Beschwerdeführenden setzen sich mit der vorinstanzlichen Beweiswürdigung kaum auseinander und zeigen nicht auf, inwiefern diese Bundesrecht verletzt oder zu einer fehlerhaften Sachverhaltsfeststellung führen soll. Solches ist auch nicht ersichtlich.</w:t>
      </w:r>
    </w:p>
    <w:p>
      <w:r>
        <w:rPr>
          <w:b/>
        </w:rPr>
        <w:t>E. 5.2</w:t>
      </w:r>
    </w:p>
    <w:p>
      <w:r>
        <w:t>Auf die ausführlichen und zutreffenden Erwägungen der Vorinstanz in der angefochtenen Verfügung kann vorab verwiesen werden (s. E. 3.2). Ergänzend dazu ist festzuhalten, dass es bezüglich der Drohungen auch am zeitlichen und sachlichen Kausalzusammenhang zwischen den fluchtauslösenden Ereignissen und dem Fluchtzeitpunkt fehlt. Der Beschwerdeführer gibt an, die letzte Drohung Ende 2010 / Anfang 2011 vor der Heirat erhalten zu haben. Danach habe er das Telefon nicht mehr benutzt. Er hatte folglich seit fast einem Jahr keine Drohungen mehr erhalten, als sie sich zur Flucht entschieden. Die Drohungen können deshalb nicht der ausschlaggebende Grund zur Flucht gewesen sein; anders lässt sich nicht erklären, weshalb sie so lange zuwarteten. Die Erklärung des Beschwerdeführers, seine Eltern und Geschwister lebten dort und er sei davon ausgegangen, dass die Angst ein Ende fände, was nicht passiert sei, vermag nicht zu überzeugen. Die Situation hatte sich zum Zeitpunkt der Flucht entspannt und es gab keinen aktuellen Anlass zur Flucht. Das Bundesverwaltungsgericht geht nach dem Gesagten nicht davon aus, dass zum Zeitpunkt der Flucht (noch) eine begründete Furcht vor Verfolgung bestand.</w:t>
      </w:r>
    </w:p>
    <w:p>
      <w:r>
        <w:rPr>
          <w:b/>
        </w:rPr>
        <w:t>E. 5.3</w:t>
      </w:r>
    </w:p>
    <w:p>
      <w:r>
        <w:t>Entgegen der Meinung der Beschwerdeführenden ist auch nicht anzunehmen, dass sie aufgrund des politischen und humanitären Engagements des Beschwerdeführers gezielte flüchtlingsrechtlich relevante Nachteile zu befürchten haben. Die Vorinstanz hat dazu zutreffend ausgeführt, dass sich die diesbezüglich vorgebrachten Drohungen und die Steinigung des Hauses als nicht glaubhaft erweisen. In Übereinstimmung mit der Vorinstanz ist ferner davon auszugehen, dass sich der Beschwerdeführer nicht derart exponiert hat, dass er ins Visier der türkischen Behörden gerückt wäre. Schliesslich bleibt festzuhalten, dass auch keine Hinweise vorliegen, die auf eine Reflexverfolgung wegen der politischen Tätigkeiten des verstorbenen Bruders schliessen lassen würden.</w:t>
      </w:r>
    </w:p>
    <w:p>
      <w:r>
        <w:rPr>
          <w:b/>
        </w:rPr>
        <w:t>E. 5.4</w:t>
      </w:r>
    </w:p>
    <w:p>
      <w:r>
        <w:t>Soweit die Beschwerdeführenden Nachteile geltend machen, die sie in der Heimatregion aufgrund ihrer Zugehörigkeit zur kurdischen Volksgruppe immer wieder erlebt haben, erweisen sich diese aufgrund der Intensität als nicht asylrelevant die schweizerischen Asylbehörden verneinen in konstanter Praxis das Vorliegen einer sogenannten Kollektivverfolgung von Kurden aus der Türkei (vgl. statt vieler Urteil des Bundesverwaltungsgerichts D-48/2013 vom 26. Februar 2013 E. 3.1; Entscheidungen und Mitteilungen der ARK [EMARK] 1993 Nr. 20 E. 3a).</w:t>
      </w:r>
    </w:p>
    <w:p>
      <w:r>
        <w:rPr>
          <w:b/>
        </w:rPr>
        <w:t>E. 5.5</w:t>
      </w:r>
    </w:p>
    <w:p>
      <w:r>
        <w:t>Nach dem Gesagten erübrigt es sich, auf die eingereichten Beweismittel (Kopie der Mitgliederkarte des IHD, Bestätigung des türkischen Anwaltes, dass er den Beschwerdeführer in der Klage gegen den Polizisten vor Gericht vertritt, Zeitungsartikel über Regierungskritiker, Bericht des Menschenrechtsverein Zweigstelle Diyarbakir über Menschrechtsverletzungen des Jahres 2011 in der ost- und südostanatolischen Region) näher einzugehen, da sie am Ergebnis der vorgenommenen Würdigung nichts zu ändern vermöchten.</w:t>
      </w:r>
    </w:p>
    <w:p>
      <w:r>
        <w:rPr>
          <w:b/>
        </w:rPr>
        <w:t>E. 5.6</w:t>
      </w:r>
    </w:p>
    <w:p>
      <w:r>
        <w:t>Zusammenfassend ist in Übereinstimmung mit der Vorinstanz festzustellen, dass die Vorbringen der Beschwerdeführenden nicht glaubhaft oder jedenfalls nicht asylrelevant sind. Die Beschwerdeführenden haben somit nichts vorgebracht, das geeignet wäre, die Flüchtlingseigenschaft nachzuweisen oder zumindest glaubhaft zu machen. Sie erfüllen die Flüchtlingseigenschaft nicht.</w:t>
      </w:r>
    </w:p>
    <w:p>
      <w:r>
        <w:rPr>
          <w:b/>
        </w:rPr>
        <w:t>E. 6</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Das Bundesamt hat die Wegweisung zu Recht angeordnet.</w:t>
      </w:r>
    </w:p>
    <w:p>
      <w:r>
        <w:rPr>
          <w:b/>
        </w:rPr>
        <w:t>E. 7.1</w:t>
      </w:r>
    </w:p>
    <w:p>
      <w:r>
        <w:t>Gemäss Art. 44 Abs. 2 AsylG prüft das Bundesamt den Vollzug der Wegweisung und regelt das Anwesenheitsverhältnis nach den gesetzlichen Bestimmungen über die vorläufige Aufnahmen nach dem Bundesgesetz vom 16. Dezember 2005 über die Ausländerinnen und Ausländer (AuG; SR 142.20), wenn der Vollzug der Wegweisung nicht zulässig, nicht zumutbar oder nicht möglich ist.</w:t>
      </w:r>
    </w:p>
    <w:p>
      <w:r>
        <w:rPr>
          <w:b/>
        </w:rPr>
        <w:t>E. 7.2</w:t>
      </w:r>
    </w:p>
    <w:p>
      <w:r>
        <w:t>Der Vollzug der Wegweisung ist nach Art. 83 Abs. 3 AuG unzulässig, wenn völkerrechtliche Verpflichtungen der Schweiz einer Weiterreise der Ausländerin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der Beschwerdeführenden und den übrigen Akten ergeben sich keine konkreten Anhaltspunkte dafür, dass sie für den Fall einer Ausschaffung in die Türkei dort mit beachtlicher Wahrscheinlichkeit einer nach Art. 3 EMRK oder Art. 1 FoK verbotenen Strafe oder Behandlung ausgesetzt wären.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Beschwerdeführenden stammen aus E._______ in der Türkei, wo keine Situation allgemeiner Gewalt oder kriegerische oder bürgerkriegsähnliche Verhältnisse herrscht. Konkrete Anhaltspunkte dafür, dass die Beschwerdeführenden bei einer Rückkehr einer Gefährdungssituation ausgesetzt wären oder aus individuellen Gründen wirtschaftlicher, sozialer oder gesundheitlicher Natur in eine existenzbedrohende Situation geraten würden, liegen keine vor. Die Beschwerdeführenden sind jung und gesund. Sie verfügen über ein familiäres und soziales Beziehungsnetz, welches sie bei ihrer Rückkehr in das Heimatland unterstützen wird. Der Beschwerdeführer hat jahrelang als (...) gearbeitet und konnte so für den Lebensunterhalt der Familie sorgen. Der Vollzug der Wegweisung erweist sich auch als zumutbar.</w:t>
      </w:r>
    </w:p>
    <w:p>
      <w:r>
        <w:rPr>
          <w:b/>
        </w:rPr>
        <w:t>E. 7.4</w:t>
      </w:r>
    </w:p>
    <w:p>
      <w:r>
        <w:t>Der Vollzug ist schliesslich nach Art. 83 Abs. 2 AuG als möglich zu bezeichnen, weil es den Beschwerdeführenden obliegt, sich bei der zuständigen Vertretung des Heimatstaates die für eine Rückkehr notwendigen Reisedokumente zu beschaffen (vgl. BVGE 2008/34 E. 12).</w:t>
      </w:r>
    </w:p>
    <w:p>
      <w:r>
        <w:rPr>
          <w:b/>
        </w:rPr>
        <w:t>E. 7.5</w:t>
      </w:r>
    </w:p>
    <w:p>
      <w:r>
        <w:t>Die Vorinstanz hat den Vollzug zutreffend als möglich, zumutbar und zulässig bezeichnet, weshalb die Anordnung einer vorläufigen Aufnahme ausser Betracht fällt.</w:t>
      </w:r>
    </w:p>
    <w:p>
      <w:r>
        <w:rPr>
          <w:b/>
        </w:rPr>
        <w:t>E. 8</w:t>
      </w:r>
    </w:p>
    <w:p>
      <w:r>
        <w:t>Aus diesen Erwägungen ergibt sich, dass die angefochtene Verfügung Bundesrecht nicht verletzt und auch sonst nicht zu beanstanden ist (vgl. Art. 106 AsylG). Die Beschwerde ist abzuweisen.</w:t>
      </w:r>
    </w:p>
    <w:p>
      <w:r>
        <w:rPr>
          <w:b/>
        </w:rPr>
        <w:t>E. 9</w:t>
      </w:r>
    </w:p>
    <w:p>
      <w:r>
        <w:t>Bei diesem Ausgang des Verfahrens sind die Kosten (Art. 1 - 3 des Reglements vom 21. Februar 2008 über die Kosten und Entschädigungen vor dem Bundesverwaltungsgericht [VGKE, SR 173.320.2]) den Beschwerdeführenden aufzuerlegen und insgesamt auf Fr. 600.- festzusetzen (Art. 63 Abs. 1 VwVG). Das Gesuch um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