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E-3115/2025 vom 15. Mai 2025</w:t>
      </w:r>
    </w:p>
    <w:p>
      <w:r>
        <w:t>Bundesverwaltungsgericht, 2025-05-15, DE</w:t>
      </w:r>
    </w:p>
    <w:p>
      <w:r>
        <w:rPr>
          <w:b/>
        </w:rPr>
        <w:t xml:space="preserve">Quelle: </w:t>
      </w:r>
      <w:r>
        <w:t>https://mcp.opencaselaw.ch/entscheid/bvger_E-3115_2025</w:t>
      </w:r>
    </w:p>
    <w:p>
      <w:r>
        <w:t>FR: TAF E-3115/2025 du 15 mai 2025</w:t>
      </w:r>
    </w:p>
    <w:p>
      <w:r>
        <w:t>IT: TAF E-3115/2025 del 15 maggio 2025</w:t>
      </w:r>
    </w:p>
    <w:p>
      <w:pPr>
        <w:pStyle w:val="Heading2"/>
      </w:pPr>
      <w:r>
        <w:t>Regeste</w:t>
      </w:r>
    </w:p>
    <w:p>
      <w:r>
        <w:t>Vollzug der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Der Beschwerdeführer ist heute gut (…)-jährig und damit minderjährig. Seine Prozessfähigkeit ist vorab als Sachurteilsvoraus-setzung von Amtes wegen zu prüfen.</w:t>
      </w:r>
    </w:p>
    <w:p>
      <w:r>
        <w:rPr>
          <w:b/>
        </w:rPr>
        <w:t>E. 1.2.1</w:t>
      </w:r>
    </w:p>
    <w:p>
      <w:r>
        <w:t>Als verfahrensrechtliches Korrelat der Handlungsfähigkeit ist die Pro- zessfähigkeit nach den einschlägigen zivilrechtlichen Vorschriften zu beur- teilen (vgl. Entscheidungen und Mitteilungen der Schweizerischen Asylre- kurskommission [EMARK] 1996 Nr. 3 E. 2b). Die Prozessfähigkeit setzt die Urteilsfähigkeit und Volljährigkeit voraus (Art. 13 ZGB). Urteilsfähig ist je- der, dem es nicht wegen seines Kindesalters oder infolge anderer Um- stände an der Fähigkeit mangelt, vernunftgemäss zu handeln (Art. 16 ZGB). Aufgrund seiner Minderjährigkeit ist der Beschwerdeführer zwar grundsätzlich handlungsunfähig im Sinne von Art. 17 ZGB. Gemäss Art. 19c Abs. 1 ZGB üben urteilsfähige handlungsunfähige Personen aber die Rechte, die ihnen um ihrer Persönlichkeit willen zustehen, selbständig aus. Nach Lehre und Praxis gelten sowohl die Einreichung eines Asylge- suchs als auch die Ergreifung von in diesem Kontext stehenden Rechts- mitteln als solche höchstpersönliche Rechte (vgl. BVGE 2011/39 E. 4.3.2;</w:t>
      </w:r>
    </w:p>
    <w:p>
      <w:r>
        <w:t>E-3115/2025 Seite 5 Urteile des BVGer E-1577/2024 vom 17. April 2025 E. 1.3; D-4256/2024 vom 11. Juli 2024 E. 1.2).</w:t>
      </w:r>
    </w:p>
    <w:p>
      <w:r>
        <w:rPr>
          <w:b/>
        </w:rPr>
        <w:t>E. 1.2.2</w:t>
      </w:r>
    </w:p>
    <w:p>
      <w:r>
        <w:t>Den Akten sind keine Anhaltspunkte zu entnehmen, die zu Zweifeln an der Urteilsfähigkeit des Beschwerdeführers in Bezug auf das Einreichen des Asylgesuches, das Vortragen seiner Asylvorbringen oder auf die Erhe- bung der Beschwerde Anlass geben würden. Die Befragungsprotokolle vermitteln den Eindruck, der Beschwerdeführer sei sich über den Gehalt der an ihn gerichteten Fragen im Klaren gewesen, habe sachbezogen ge- antwortet und sich bei der Darlegung der Asylgründe sowie seiner persön- lichen Verhältnisse jederzeit von vernünftigen Überlegungen leiten lassen. Darüber hinaus wurde er sowohl bei der EB UMA als auch bei der Anhö- rung zu seinen Asylgründen von einer rechtskundigen Vertrauensperson (der ihm zugewiesenen Rechtsvertretung) begleitet. Es ist somit von der Urteilsfähigkeit und damit von der Prozessfähigkeit des Beschwerdefüh- rers im Zeitpunkt der Beschwerdeeinreichung auszugehen. Im Übrigen wird seine Urteilsfähigkeit denn auch nicht bestritten.</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Der Beschwerdeführer beantragt zwar die Aufhebung der angefochtenen Verfügung, ersucht materiell aber lediglich um die Anordnung der vorläufi- gen Aufnahme. Angesichts dessen und aufgrund der Beschwerdebegrün- dung geht das Bundesverwaltungsgericht davon aus, dass sich die Be- schwerde ausschliesslich gegen den von der Vorinstanz angeordneten Vollzug der Wegweisung (Dispositivziffern 4 und 5) richtet. Die Dispositiv- ziffern 1 bis 3 sind mangels Anfechtung in Rechtskraft erwachsen und bil- den nicht Gegenstand des Verfahrens.</w:t>
      </w:r>
    </w:p>
    <w:p>
      <w:r>
        <w:rPr>
          <w:b/>
        </w:rPr>
        <w:t>E. 3</w:t>
      </w:r>
    </w:p>
    <w:p>
      <w:r>
        <w:t>Die Kognition des Bundesverwaltungsgerichts und die zulässigen Rügen richten sich im Bereich des Ausländerrechts nach Art. 49 VwVG (vgl. BVGE 2014/26 E. 5).</w:t>
      </w:r>
    </w:p>
    <w:p>
      <w:r>
        <w:t>E-3115/2025 Seite 6</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moniert in formeller Hinsicht, die Vorinstanz stütze sich lediglich auf Mutmassungen, wonach er bei einer Rückkehr wie- der bei seiner Tante unterkommen könne beziehungsweise dass seine Cousine keine Probleme habe und ihn deshalb bei sich aufnehmen könne. Als er noch mit seiner Tante, seinem Cousin, seiner Cousine sowie seinem Vater zusammengelebt habe, sei sein Vater für den Unterhalt aufgekom- men. Er wisse nicht, wovon seine Tante heute lebe. Ausserdem habe er bereits anlässlich der Anhörung erklärt, dass seine Cousine verheiratet sei und durch diese Heirat nun der Familie ihres Ehemannes angehöre. Er kenne weder den Ehemann seiner Cousine noch dessen Familie und seine Cousine könne nicht selbst entscheiden, ob er allenfalls bei der Familie ihres Ehemannes unterkommen könne. Hinzu komme, dass er selbst nicht wisse, wo seine Cousine genau wohne. Die Vorinstanz habe denn auch nie Kontakt mit seiner Cousine oder seiner Tante aufgenommen und dem- entsprechend von diesen auch keine Zusicherung erhalten beziehungs- weise eingeholt, dass diese über die Möglichkeit und den Willen verfügten, ihn bei einer Rückkehr bei sich aufzunehmen. Er verfüge in seiner Heimat über kein soziales Netz. Darüber hinaus habe sich die Vorinstanz auch nicht nach seiner gesundheitlichen Situation erkundigt.</w:t>
      </w:r>
    </w:p>
    <w:p>
      <w:r>
        <w:rPr>
          <w:b/>
        </w:rPr>
        <w:t>E. 5.2</w:t>
      </w:r>
    </w:p>
    <w:p>
      <w:r>
        <w:t>Damit macht der Beschwerdeführer vorliegend eine unrichtige respek- tive unvollständige Feststellung des rechtserheblichen Sachverhaltes gel- tend und rügt damit eine Verletzung des Untersuchungsgrundsatzes. Diese formellen Rügen sind vorab zu beurteilen, da sie gegebenenfalls geeignet sind, eine Kassation der vorinstanzlichen Verfügung zu bewirken (vgl. BVGE 2013/34 E. 4.2; KÖLZ/HÄNER/BERTSCHI, Verwaltungsverfahren und Verwaltungsrechtspflege des Bundes, 3. Aufl. 2013, Rz. 1043 ff. m.w.H.).</w:t>
      </w:r>
    </w:p>
    <w:p>
      <w:r>
        <w:t>E-3115/2025 Seite 7</w:t>
      </w:r>
    </w:p>
    <w:p>
      <w:r>
        <w:rPr>
          <w:b/>
        </w:rPr>
        <w:t>E. 6.1</w:t>
      </w:r>
    </w:p>
    <w:p>
      <w:r>
        <w:t>Im Asylverfahren gilt – wie in anderen Verwaltungsverfahren – der Un- tersuchungsgrundsatz (Art. 6 AsylG i.V.m. Art. 12 VwVG). Danach stellt die Behörde den Sachverhalt von Amtes wegen fest. Die Behörde muss die für das Verfahren erforderlichen Sachverhaltsunterlagen beschaffen, die rechtlich relevanten Umstände abklären und darüber ordnungsgemäss Be- weis führen. Unrichtig ist die Sachverhaltsfeststellung dann, wenn der Ver- fügung ein falscher und aktenwidriger oder nicht weiter belegbarer Sach- verhalt zugrunde gelegt wurde. Unvollständig ist die Sachverhaltsfeststel- lung, wenn die Behörde trotz Untersuchungsmaxime den Sachverhalt nicht von Amtes wegen abgeklärt hat, oder wenn nicht alle für den Entscheid wesentlichen Sachumstände berücksichtigt wurden (vgl. BVGE 2012/21 E. 5; KÖLZ/HÄNER/BERTSCHI, a.a.O., Rz. 1043). Der Untersuchungsgrund- satz findet seine Grenze in der Mitwirkungspflicht der Asylsuchenden (Art. 8 AsylG; Art. 13 VwVG; zum Ganzen BVGE 2016/27 E. 9.1.1 m.w.H.).</w:t>
      </w:r>
    </w:p>
    <w:p>
      <w:r>
        <w:rPr>
          <w:b/>
        </w:rPr>
        <w:t>E. 6.2</w:t>
      </w:r>
    </w:p>
    <w:p>
      <w:r>
        <w:t>Gemäss Rechtsprechung des Bundesverwaltungsgerichts verpflichten Art. 3 und Art. 22 des Übereinkommens über die Rechte des Kindes vom 20. November 1989 (Kinderrechtskonvention, KRK, SR 0.107) die asyl- rechtlichen Behörden, das Kindeswohl im Rahmen der Prüfung der Zumut- barkeit des Wegweisungsvollzugs als gewichtigen Aspekt zu berücksichti- gen. Das SEM ist bezüglich unbegleiteter minderjähriger Asylsuchender verpflichtet abzuklären, ob diese zu ihren Eltern oder anderen Angehörigen zurückgeführt werden können und ob jene in der Lage sind, ihre Bedürf- nisse abzudecken. Können die Angehörigen nicht ausfindig gemacht wer- 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 gemeine Feststellungen, im Heimat- oder Herkunftsland würden Eltern oder andere Angehörige leben beziehungsweise es gebe in dem betreffen- den Land entsprechende Einrichtungen, genügen nicht. Auch gemäss Art. 69 Abs. 4 AIG (SR 142.20) hat das SEM vor der Ausschaffung einer unbegleiteten minderjährigen Person sicherzustellen, dass diese im Rück- kehrstaat einem Familienmitglied, einem Vormund oder einer Aufnahme- einrichtung übergeben werden kann, welche den Schutz des Kindes ge- 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(vgl.</w:t>
      </w:r>
    </w:p>
    <w:p>
      <w:r>
        <w:t>E-3115/2025 Seite 8 EMARK 1997 Nr. 23 E. 5, 1998 Nr. 13 E. 5e/bb und 2006 Nr. 24 E. 6.2.4, bestätigt in BVGE 2021 VI/3).</w:t>
      </w:r>
    </w:p>
    <w:p>
      <w:r>
        <w:rPr>
          <w:b/>
        </w:rPr>
        <w:t>E. 6.3</w:t>
      </w:r>
    </w:p>
    <w:p>
      <w:r>
        <w:t>Das SEM kann durch eine Verletzung der Mitwirkungspflicht der min- derjährigen Person von dieser Abklärungspflicht grundsätzlich nicht ent- bunden werden. Nur in Ausnahmefällen, in welchen eine Abklärung durch die Mitwirkungspflichtverletzung vollkommen verunmöglicht wird, erlischt die Abklärungspflicht des SEM. Dies wäre beispielsweise der Fall, wenn sich die minderjährige Person in Bezug auf ihre Nationalität und Herkunft so widerspricht, dass weder Abklärungen betreffend die familiäre Situation möglich sind noch eine geeignete Institution gesucht werden kann (vgl. BVGE 2021 VI/3 E. 11.5.2 m.w.H.).</w:t>
      </w:r>
    </w:p>
    <w:p>
      <w:r>
        <w:rPr>
          <w:b/>
        </w:rPr>
        <w:t>E. 6.4.1</w:t>
      </w:r>
    </w:p>
    <w:p>
      <w:r>
        <w:t>Die Vorinstanz hat in der angefochtenen Verfügung die Minderjährig- keit des Beschwerdeführers ausdrücklich anerkannt (vgl. Verfügung des SEM vom 28. März 2025 Ziff. III). Die Tatsache, dass es sich beim Be- schwerdeführer um einen unbegleiteten minderjährigen Asylsuchenden handelt (Art. 1a Bst. d der Asylverordnung 1 vom 11. August 1999 über Verfahrensfragen [AsylV 1, SR 142.311]), hat zur Folge, dass erhöhte An- forderungen an die Zumutbarkeit des Wegweisungsvollzugs zu stellen und diese von Amtes wegen zu prüfen sind (vgl. BVGE 2015/30 E. 7.2, 2009/51 E. 5.6; Urteil des BVGer E-6824/2024 vom 19. Dezember 2023 E. 5.2.1 m.w.H.). Die Vorinstanz ist somit verpflichtet, von Amtes wegen konkret ab- zuklären, ob der minderjährige Beschwerdeführer effektiv bei einem Fami- lienmitglied beziehungsweise – wenn dies nicht möglich oder mit dem Kin- deswohl nicht vereinbar ist – anderweitig untergebracht und betreut wer- den kann.</w:t>
      </w:r>
    </w:p>
    <w:p>
      <w:r>
        <w:rPr>
          <w:b/>
        </w:rPr>
        <w:t>E. 6.4.2</w:t>
      </w:r>
    </w:p>
    <w:p>
      <w:r>
        <w:t>Das Bundesverwaltungsgericht kommt nach Durchsicht der Akten zum Schluss, dass die Vorinstanz ihrer Abklärungspflicht vorliegend nicht ausreichend nachgekommen ist. Ob der Beschwerdeführer tatsächlich zu seiner Tante oder seiner Cousine in Guinea zurückkehren kann, ist nicht erstellt. Der Beschwerdeführer führte bereits anlässlich der EB UMA aus, er wisse nicht, wo seine Tante aktuell lebe, da er keinen Kontakt zu ihr habe, und wiederholte diesen Umstand auch anlässlich der Anhörung (vgl. SEM-Akte […]-16/9 S. 5; […]-20/22 F86). Die Ausführungen der Vorinstanz in der angefochtenen Verfügung, wonach der Beschwerdeführer mit seiner Cousine in Kontakt stehe und diese ihm dabei helfen könne, den Kontakt zur Tante wiederherzustellen, sind mit Blick auf die gebotene Abklärungs- pflicht unzureichend. Es kann nicht mit Sicherheit gesagt werden, dass</w:t>
      </w:r>
    </w:p>
    <w:p>
      <w:r>
        <w:t>E-3115/2025 Seite 9 seine Cousine ihn bei sich aufnehmen kann. Der Beschwerdeführer führte diesbezüglich an, seine Cousine sei nun verheiratet und wohne bei der Fa- milie ihres Ehemannes, welche er (der Beschwerdeführer) nicht kenne, und er könne weder bei seiner Cousine noch bei seiner Tante unterkommen (vgl. SEM-Akte […]-20/22 F94, F108 f.). Alleine aus dem Umstand, dass seine Cousine mit ihm in Kontakt steht und ihm während des Asylverfah- rens eine Kopie seiner Geburtsurkunde zukommen liess (vgl. SEM-Akte […]-16/9 S. 6; […]-17/1), kann nicht darauf geschlossen werden, dass er im Falle seiner Rückkehr bei dieser unterkommen kann. Weiter ist festzu- halten, dass das SEM dem Beschwerdeführer zwar während des Verfah- rens das rechtliche Gehör zu einer möglichen Betreuung durch die Orga- nisation rocCONAKRY gewährte, in der Verfügung aber selbst ausführt, dass sie mit dieser nicht mehr zusammenarbeite (vgl. Verfügung des SEM vom 28. März 2025 Ziff. III/2./S. 8). Entsprechend besteht für den Be- schwerdeführer im Falle seiner Rückkehr keine gesicherte Unterbringungs- möglichkeit.</w:t>
      </w:r>
    </w:p>
    <w:p>
      <w:r>
        <w:rPr>
          <w:b/>
        </w:rPr>
        <w:t>E. 6.4.3</w:t>
      </w:r>
    </w:p>
    <w:p>
      <w:r>
        <w:t>Im Übrigen ist denn auch – entgegen den Ausführungen in der Ver- fügung des SEM – vorliegend keine Mitwirkungspflichtverletzung des Be- schwerdeführers erkennbar. Es mag zwar sein, dass seine Ausführungen betreffend die Lebensumstände in Guinea nicht sehr konkret ausfielen. Er machte jedoch Angaben zu seinen nächsten Verwandten (Cousine und Tante), nannte deren Namen, im Falle der Cousine sogar die Telefonnum- mer, sowie deren vermeintlichen Aufenthaltsort (vgl. SEM-Akte […]-20/22 F91 – F98; […]-22/1). Damit wäre es der Vorinstanz möglich gewesen, wei- tere Abklärungen zu tätigen. Die von der Vorinstanz angeführten vagen An- gaben entsprechen nicht der von der Rechtsprechung geforderten Intensi- tät einer Mitwirkungspflichtverletzung, um von weiteren Abklärungen zu Unterbringungs- und Betreuungsmöglichkeiten abzusehen (vgl. BVGE 2021 VI/3 E. 11.5.2 m.w.H. sowie vorhergehend E. 6.3).</w:t>
      </w:r>
    </w:p>
    <w:p>
      <w:r>
        <w:rPr>
          <w:b/>
        </w:rPr>
        <w:t>E. 6.5</w:t>
      </w:r>
    </w:p>
    <w:p>
      <w:r>
        <w:t>Zusammenfassend ist festzustellen, dass die Vorinstanz den Sachver- halt vorliegend unvollständig festgestellt hat.</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w:t>
      </w:r>
    </w:p>
    <w:p>
      <w:r>
        <w:t>E-3115/2025 Seite 10 grundsätzlich zwar auch durch die Beschwerdeinstanz selbst hergestellt werden, wenn dies im Einzelfall aus prozessökonomischen Gründen ange- bracht erscheint; sie muss dies aber nicht (vgl. BVGE 2012/21 E. 5).</w:t>
      </w:r>
    </w:p>
    <w:p>
      <w:r>
        <w:rPr>
          <w:b/>
        </w:rPr>
        <w:t>E. 7.2</w:t>
      </w:r>
    </w:p>
    <w:p>
      <w:r>
        <w:t>Die Beschwerde ist insoweit gutzuheissen, als die angefochtene Ver- fügung in den Dispositivziffern 4 und 5 aufzuheben und die Sache im Weg- weisungspunkt zur vollständigen Feststellung des Sachverhalts sowie zur Neubeurteilung im Sinne der Erwägungen an die Vorinstanz zurückzuwei- sen ist. Die Erstellung des Sachverhalts bedarf weiterer Abklärungen, die den Rahmen des Beschwerdeverfahrens sprengen würden. Zudem ginge dem Beschwerdeführer bei der Vornahme der Abklärungen durch das Bun- desverwaltungsgericht eine Instanz verloren. Die Vorinstanz ist daher ge- halten, die notwendigen konkreten Abklärungen zur Rückkehr des Be- schwerdeführers nach Guinea im Sinne der Erwägungen vorzunehmen. Anschliessend wird sie unter Berücksichtigung der Erkenntnisse sowie in umfassender Würdigung aller für das Kindeswohl relevanter Kriterien und der gesundheitlichen Situation des Beschwerdeführers erneut über den Wegweisungsvollzug entscheiden.</w:t>
      </w:r>
    </w:p>
    <w:p>
      <w:r>
        <w:rPr>
          <w:b/>
        </w:rPr>
        <w:t>E. 8</w:t>
      </w:r>
    </w:p>
    <w:p>
      <w:r>
        <w:t>Bei diesem Ausgang des Verfahrens sind keine Kosten zu erheben (Art. 63 Abs. 1 und 2 VwVG). Die Gesuche um Gewährung der unentgeltlichen Pro- zessführung und der amtlichen Rechtsverbeiständung sowie um Verzicht auf die Erhebung eines Kostenvorschusses sind damit gegenstandslos ge- worden.</w:t>
      </w:r>
    </w:p>
    <w:p>
      <w:r>
        <w:rPr>
          <w:b/>
        </w:rPr>
        <w:t>E. 9</w:t>
      </w:r>
    </w:p>
    <w:p>
      <w:r>
        <w:t>Dem nicht vertretenen Beschwerdeführer sind offensichtlich keine notwen- digen und verhältnismässig hohen Parteikosten entstanden, weshalb ihm keine Parteientschädigung zuzusprechen ist (Art. 64 Abs. 1 VwVG und Art. 7 Abs. 4 VGKE).</w:t>
      </w:r>
    </w:p>
    <w:p>
      <w:r>
        <w:t>(Dispositiv nächste Seite)</w:t>
      </w:r>
    </w:p>
    <w:p>
      <w:r>
        <w:t>E-3115/2025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