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E-3115/2019 vom 12. Mai 2021</w:t>
      </w:r>
    </w:p>
    <w:p>
      <w:r>
        <w:t>Bundesverwaltungsgericht, 2021-05-12, DE</w:t>
      </w:r>
    </w:p>
    <w:p>
      <w:r>
        <w:rPr>
          <w:b/>
        </w:rPr>
        <w:t xml:space="preserve">Quelle: </w:t>
      </w:r>
      <w:r>
        <w:t>https://mcp.opencaselaw.ch/entscheid/bvger_E-3115_2019</w:t>
      </w:r>
    </w:p>
    <w:p>
      <w:r>
        <w:t>FR: TAF E-3115/2019 du 12 mai 2021</w:t>
      </w:r>
    </w:p>
    <w:p>
      <w:r>
        <w:t>IT: TAF E-3115/2019 del 12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nachfolgenden Erwägung - einzutreten.</w:t>
      </w:r>
    </w:p>
    <w:p>
      <w:r>
        <w:rPr>
          <w:b/>
        </w:rPr>
        <w:t>E. 1.4</w:t>
      </w:r>
    </w:p>
    <w:p>
      <w:r>
        <w:t>Der vorliegenden Beschwerde kommt von Gesetzes wegen aufschiebende Wirkung zu und diese wurde von der Vorinstanz auch nicht entzogen (Art. 55 VwVG). Auf den Eventualantrag um Gewährung der aufschiebenden Wirkung der Beschwerde ist deshalb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ihren ablehnenden Asylentscheid im Wesentlichen mit der mangelnden Asylrelevanz der Vorbringen. In Nigeria bestehe staatlicher Schutz durch die Strafverfolgungsbehörden. Der nigerianische Staat, vorliegend die Polizeiorgane, seien zudem grundsätzlich schutzwillig. Es lägen keine Hinweise darauf vor, dass dieser Schutzwille im Fall des Beschwerdeführers nicht gegeben gewesen sei. Er mache geltend, nicht versucht zu haben, polizeilichen Schutz zu erhalten. Soweit er behaupte, die Polizei mische sich nicht in traditionelle Angelegenheiten von Dörfern ein, handle es sich dabei lediglich um eine Vermutung. Daraus lasse sich nicht ableiten, dass die Polizei bei den geltend gemachten schweren Drohungen ihm gegenüber - Mord und Menschenopfer - nicht schutzwillig gewesen wäre. Vielmehr sei es ihm zuzumuten gewesen, sich aufgrund der geltend gemachten Probleme an die Behörden zu wenden und deren Schutz in Anspruch zu nehmen. Im Übrigen hielt die Vorinstanz fest, dass er die Bedrohungen nur sehr knapp und unsubstanziiert geschildert habe und nicht der Eindruck entstehe, er habe von selbst erlebten Drohungen berichtet. Angesichts der mangelnden Asylrelevanz erübrige es sich jedoch, auf die Glaubhaftigkeit der Vorbringen einzugehen.</w:t>
      </w:r>
    </w:p>
    <w:p>
      <w:r>
        <w:rPr>
          <w:b/>
        </w:rPr>
        <w:t>E. 3.2</w:t>
      </w:r>
    </w:p>
    <w:p>
      <w:r>
        <w:t>Zur Begründung seines Rechtsmittels führte der Beschwerdeführer im Wesentlichen aus, die vorinstanzliche Einschätzung, wonach er die heimatlichen Behörden um Schutz hätte angehen können, sei unzutreffend und seine Vorbringen somit von asylrechtlicher Relevanz. Die nigerianische Polizei missbrauche häufig ihre Macht und handle unvorhersehbar, weshalb ein Grossteil der Bevölkerung ihr misstraue. Die Polizei sei zudem selbst in illegale Geschäfte verwickelt, weshalb sie sich nicht darum kümmere, ob Teile der rituellen Praxis in den Dörfern illegal seien. Nigeria gelte ausserdem als Hochburg von Ritualverbrechen und rituelle Tötungen seien im gesamten Land verbreitet. Insbesondere im Gebiet, aus dem er stamme, seien solche Ritualmorde offiziell bestätigt und es könne kaum dagegen vorgegangen werden. Als alleinstehender Mann ohne Familie werde er völlig schutzlos und somit ein ideales Opfer für Kriminelle sein, die entweder im Auftrag der Dorfbewohner nach ihm suchen würden oder die mit menschlichen Körperteilen handelten. Vor dem Hintergrund seiner sozialen Isolation präsentiere sich jedenfalls der Wegweisungsvollzug als unzumutbar. Er verfüge über keinerlei Sozialkontakte und könne auch keine nennenswerte Schulbildung, geschweige denn Ausbildung vorweisen. Insofern habe er Angst, bei einer Rückkehr auf der Strasse leben zu müssen und Kriminellen und Spionen aus seinem Dorf schutzlos ausgeliefert zu sein.</w:t>
      </w:r>
    </w:p>
    <w:p>
      <w:r>
        <w:rPr>
          <w:b/>
        </w:rPr>
        <w:t>E. 3.3</w:t>
      </w:r>
    </w:p>
    <w:p>
      <w:r>
        <w:t>In ihrer Vernehmlassung führte die Vorinstanz zunächst aus, aus dem geltend gemachten Misstrauen der Bevölkerung gegenüber der Polizei könne weder generell noch im konkreten Fall auf deren fehlende Schutzwilligkeit und Schutzfähigkeit geschlossen werden. Die in der Beschwerdeschrift zitierten Quellen zur Verbreitung von Ritualmorden würden ihrerseits von Gesetzen gegen diese Praxis und auch von entsprechenden Sanktionen der Täter berichten. Insofern werde das Vorkommen von Ritualmorden in Nigeria nicht bestritten, es liessen sich jedoch keine Rückschlüsse auf die mangelnde Schutzwilligkeit und Schutzfähigkeit der Behörden gegenüber dem Beschwerdeführer ziehen.</w:t>
      </w:r>
    </w:p>
    <w:p>
      <w:r>
        <w:rPr>
          <w:b/>
        </w:rPr>
        <w:t>E. 3.4</w:t>
      </w:r>
    </w:p>
    <w:p>
      <w:r>
        <w:t>Auf Replikebene brachte der Beschwerdeführer im Wesentlichen vor, sich fast genauso sehr vor den Polizeibehörden wie vor seinen eigentlichen Verfolgern zu fürchten, da er um die kriminellen Praktiken der Polizei wisse. Somit sei es ihm subjektiv nicht zumutbar, die Polizei um Schutz zu ersuchen. Soweit das SEM in seiner Verfügung von der grundsätzlichen Schutzwilligkeit der Polizei ausgehe, sei festzustellen, dass diverse europäische Asylgerichte in Bezug auf Menschenhandel eine mangelnde Schutzfähigkeit der nigerianischen Behörden angenommen hätten. Auf den Schutzwillen und insbesondere die Schutzfähigkeit sei somit kein Verlass, wobei für seinen tatsächlichen Schutz beides nötig sei. Die Existenz von Gesetzen gegen Ritualmorde biete keinen ausreichenden Schutz, da mangels finanzieller Ressourcen, wegen einem hohen Korruptionsgrad und der grossen Bedeutung traditioneller Autoritäten keine effektive Strafverfolgung stattfinde.</w:t>
      </w:r>
    </w:p>
    <w:p>
      <w:r>
        <w:rPr>
          <w:b/>
        </w:rPr>
        <w:t>E. 4.1</w:t>
      </w:r>
    </w:p>
    <w:p>
      <w:r>
        <w:t>Gemäss Art. 2 Abs. 1 AsylG gewährt die Schweiz Flüchtlingen grundsätzlich Asyl.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kommt das Bundesverwaltungsgericht zum Schluss, dass die Vorinstanz die Vorbringen des Beschwerdeführers zu Recht als flüchtlingsrechtlich nicht relevant qualifiziert hat. Der Beschwerdeführer vermag mit seinen Ausführungen in der Beschwerdeschrift den Erwägungen des SEM letztlich nichts entgegenzusetzen, das geeignet wäre, zu einer anderen Einschätzung zu führen. Somit kann zur Vermeidung von Wiederholungen vorab auf die diesbezüglichen Erwägungen in der angefochtenen Verfügung verwiesen werden (vgl. act. A20/6 Ziff. II S. 3). Als Wesentlich wird Folgendes erachtet:</w:t>
      </w:r>
    </w:p>
    <w:p>
      <w:r>
        <w:rPr>
          <w:b/>
        </w:rPr>
        <w:t>E. 5.2</w:t>
      </w:r>
    </w:p>
    <w:p>
      <w:r>
        <w:t>Die vom Beschwerdeführer geschilderten Drohungen infolge seiner Weigerung, das religiöse Amt seines Vaters zu übernehmen, sind auf Mitglieder der Dorfgemeinschaft - und somit flüchtlingsrechtlich gesehen auf Drittpersonen - zurückzuführen. Insofern bleibt zu prüfen, ob für den Beschwerdeführer die Inanspruchnahme staatlichen Schutzes im Heimatstaat möglich war. Diesbezüglich machte der Beschwerdeführer im Rahmen der Anhörungen geltend, die heimatlichen Behörden nicht um Schutz ersucht zu haben, da diese sich nicht in solche Dorfangelegenheiten einmischen würden respektive die Polizei selbst Angst vor solchen Sachen habe (vgl. act. A19/11 F32, F61). Auf Beschwerdeebene fügte er ausserdem an, Misstrauen der Bevölkerung gegenüber der Polizei sei in Nigeria weit verbreitet, weshalb es ihm subjektiv nicht zumutbar gewesen sei, sich an die Behörden zu wenden (vgl. Beschwerde S. 2 und Replik S. 4).</w:t>
      </w:r>
    </w:p>
    <w:p>
      <w:r>
        <w:rPr>
          <w:b/>
        </w:rPr>
        <w:t>E. 5.3</w:t>
      </w:r>
    </w:p>
    <w:p>
      <w:r>
        <w:t>Es mag zwar sein, dass die nigerianischen Behörden sich nicht in jedem einzelnen Fall als schutzwillig und schutzfähig erweisen, was jedoch unter dem flüchtlingsrechtlichen Begriff der Schutzwilligkeit und -fähigkeit auch nicht verlangt wird. Von einer generellen Schutzunfähigkeit und -willigkeit geht das Gericht aber nicht aus. Letztlich kann vorliegend eine eingehende Beurteilung der Schutzwilligkeit und -fähigkeit der nigerianischen Behörden im konkreten Fall ohnehin unterbleiben, da der Beschwerdeführer überhaupt nicht erst versucht hat, sich schutzsuchend an die heimatlichen Behörden zu wenden. Dies kann ihm nun insofern entgegengehalten werden, als er den Behörden gar keine Möglichkeit zur Schutzgewährung gegeben hat, weshalb diesbezüglich auf die Subsidiarität des flüchtlingsrechtlichen Schutzes zu verweisen ist (vgl. beispielsweise BVGer Urteil E-2390/2020 vom 15. Mai 2020 S. 11). Der in der Beschwerde erstmals vorgebrachte Einwand, wonach er sich aufgrund des gesellschaftlich verankerten Misstrauens gegenüber der Polizei nicht an diese habe wenden können, vermag nicht zu überzeugen, zumal der Beschwerdeführer anlässlich der Anhörungen keine derartigen Vorbehalte gegenüber den nigerianischen Behörden geäussert hatte. Soweit im Übrigen in der Replik die mangelnde Schutzfähigkeit der Behörden vorgebracht wird, erübrigt sich eine Auseinandersetzung mit diesem Einwand, bezieht er sich doch auf die Problematik des Menschenhandels (vgl. Replik S. 1).</w:t>
      </w:r>
    </w:p>
    <w:p>
      <w:r>
        <w:rPr>
          <w:b/>
        </w:rPr>
        <w:t>E. 5.4</w:t>
      </w:r>
    </w:p>
    <w:p>
      <w:r>
        <w:t>Unter dem Aspekt der fehlenden Asylrelevanz ist auch festzuhalten, dass es keinen Grund zur Annahme gibt, der Beschwerdeführer könne sich nicht an einem anderen Ort - insbesondere in einer nigerianischen Grossstadt - aufhalten. Entgegen seinen Befürchtungen, überall in Nigeria gefunden zu werden, ist kaum vorstellbar, dass er heute, rund dreizehn Jahre nach dem Verlassen seines Dorfes, in ganz Nigeria gesucht wird respektive überall wiedererkannt würde. Dieser Eindruck verstärkt sich vor dem Hintergrund, dass der Beschwerdeführer im Jahre 2009 bereits einmal nach Nigeria zurückgekehrt ist und dort während (...) Monaten unbehelligt in F._______ lebte (vgl. act. A19/11 F38). Die definitive Ausreise ab F._______ sei nach Aussagen des Beschwerdeführers denn auch lediglich auf Anraten eines Freundes hin erfolgt, in dessen Dorf sich Ähnliches zugetragen habe (vgl. act. A19/11 F40). Insofern ergeben sich auch gewisse Zweifel sowohl am zeitlichen als auch am sachlichen Kausalzusammenhang der Vorbringen. Insgesamt ist somit nicht davon auszugehen, der Beschwerdeführer habe im heutigen Zeitpunkt begründete Furcht vor ernsthaften Nachteilen im Sinn von Art. 3 AsylG.</w:t>
      </w:r>
    </w:p>
    <w:p>
      <w:r>
        <w:rPr>
          <w:b/>
        </w:rPr>
        <w:t>E. 5.5</w:t>
      </w:r>
    </w:p>
    <w:p>
      <w:r>
        <w:t>Im Ergebnis bedarf der Beschwerdeführer keines internationalen Schutzes (vgl. BVGE 2011/51 E. 7), weshalb seine Vorbringen als nicht asylrelevant im Sinne von Art. 3 AsylG zu qualifizieren sind.</w:t>
      </w:r>
    </w:p>
    <w:p>
      <w:r>
        <w:rPr>
          <w:b/>
        </w:rPr>
        <w:t>E. 5.6</w:t>
      </w:r>
    </w:p>
    <w:p>
      <w:r>
        <w:t>Zusammenfassend ist daher festzuhalten, dass die Vorinstanz zu Recht die Flüchtlingseigenschaft des Beschwerdeführers verneint und sein Asylgesuch abgewiesen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namentlich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Weder die allgemeine Lage im Heimatstaat des Beschwerdeführers noch individuelle Gründe lassen darauf schliessen, dass der Beschwerdeführer im Falle einer Rückkehr einer Gefahr ausgesetzt wäre, weshalb der Vollzug der Wegweisung vorliegend zumutbar ist. Es ist zwar davon auszugehen, dass er aufgrund mangelnder Sozialkontakte bei seiner Rückkehr erschwerte Reintegrationsbedingungen vorfinden wird. Es erscheint dennoch unwahrscheinlich, dass er in Nigeria in eine existenzbedrohende Notlage geraten oder besonders schutzlos und somit für Kriminelle leicht angreifbar sein wird, zumal er - soweit den Akten zu entnehmen ist - gesund und arbeitsfähig ist. Es dürfte ihm als Christ überdies möglich sein, sich im Rahmen christlicher Glaubensgemeinschaften ein soziales Netzwerk aufzubauen. In Bezug auf seine finanzielle Lage nach der Rückkehr steht dem Beschwerdeführer - nebst den Einkünften aus seiner Erwerbstätigkeit in der Schweiz - die Möglichkeit offen, in der Schweiz finanzielle Rückkehrhilfe zu beantragen.</w:t>
      </w:r>
    </w:p>
    <w:p>
      <w:r>
        <w:rPr>
          <w:b/>
        </w:rPr>
        <w:t>E. 7.3.2</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Zwischenverfügung vom 26. Juni 2019 wurde das mit der Beschwerde gestellte Gesuch um Gewährung der unentgeltlichen Prozessführung (Art. 65 Abs. 1 VwVG) gutgeheissen und es wurde auf die Erhebung eines Kostenvorschusses (Art. 64 Abs. 3 VwVG) verzichtet. Gemäss Stellungnahme des Beschwerdeführers vom 23. März 2021 haben sich seine finanziellen Verhältnisse zwischenzeitlich in relevanter Weise verändert, so dass er ist nicht mehr als bedürftig zu erachten ist. Die Ziffer 2 des Dispositivs der Instruktionsverfügung vom 26. Juni 2019 ist deshalb wiedererwägungsweise in diesem Punkt aufzuheben und der Antrag auf Bewilligung der unentgeltlichen Prozessführung gemäss Art. 65 Abs. 1 VwVG mit Wirkung ex nunc abzuweisen (vgl. BGE 122 I 322 E. 2c; EMARK 2000 Nr. 6 E. 9). Folglich sind dem Beschwerdeführer mangels heutiger prozessualer Bedürftigkeit die Kosten des Verfahrens von Fr. 750.- (Art. 1-3 des Reglements vom 21. Februar 2008 über die Kosten und Entschädigungen vor dem Bundesverwaltungsgericht [VGKE, SR 173.320.2]) aufzuerlegen (vgl. Art. 63 Abs. 1 und 5 VwVG).</w:t>
      </w:r>
    </w:p>
    <w:p>
      <w:r>
        <w:rPr>
          <w:b/>
        </w:rPr>
        <w:t>E. 9.2</w:t>
      </w:r>
    </w:p>
    <w:p>
      <w:r>
        <w:t>Mit Zwischenverfügung vom 10. Juli 2019 wurde MLaw Rachel Brunnschweiler als amtliche Rechtsbeiständin des Beschwerdeführers eingesetzt. Nachdem die Voraussetzungen von Art. 65 Abs. 1 VwVG nicht mehr erfüllt sind und der entsprechende Entscheid vom 26. Juni 2019 wiedererwägungsweise aufgehoben wurde, mangelt es auch an den Voraussetzungen für die Bestellung eines Anwaltes im Sinne von aArt. 110a AsylG. Folglich ist die Ziffer 1 des Dispositivs der Zwischenverfügung vom 10. Juli 2019 ebenfalls wiedererwägungsweise aufzuheben und das Gesuch um Beiordnung einer unentgeltlichen Rechtsvertretung mit Wirkung für die Zukunft (vgl. Martin Kayser/Rahel Altmann, in: Kommentar zum Bundesgesetz über das Verwaltungsverfahren [VwVG], 2019, Rz. 51 zu Art. 65) abzuweisen. Demnach ist der Rechtsvertreterin ein amtliches Honorar für die bis anhin notwendigen Aufwendungen im Beschwerdeverfahren auszurichten. Es wurde keine Kostennote eingereicht, weshalb das Honorar aufgrund der Akten festzulegen ist (Art. 14 Abs. 2 VGKE), wobei sich vorliegend der Aufwand zuverlässig abschätzen lässt. Gestützt auf die in Betracht zu ziehenden Bemessungsfaktoren (Art. 9-13 VGKE) und dem in der Zwischenverfügung vom 10. Juli 2019 kommunizierten Stundenansatz ist das Honorar auf insgesamt Fr. 200.- (inkl. aller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