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E-3112/2016 vom 17. August 2016</w:t>
      </w:r>
    </w:p>
    <w:p>
      <w:r>
        <w:t>Bundesverwaltungsgericht, 2016-08-17, DE</w:t>
      </w:r>
    </w:p>
    <w:p>
      <w:r>
        <w:rPr>
          <w:b/>
        </w:rPr>
        <w:t xml:space="preserve">Quelle: </w:t>
      </w:r>
      <w:r>
        <w:t>https://mcp.opencaselaw.ch/entscheid/bvger_E-3112_2016</w:t>
      </w:r>
    </w:p>
    <w:p>
      <w:r>
        <w:t>FR: TAF E-3112/2016 du 17 août 2016</w:t>
      </w:r>
    </w:p>
    <w:p>
      <w:r>
        <w:t>IT: TAF E-3112/2016 del 17 agosto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 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Bezüglich der Frage der ausländerrechtlichen Wegweisung und des Wegweisungsvollzugs hat die Vorinstanz eine materielle Prüfung vorgenommen, weshalb dem Bundesverwaltungsgericht diesbezüglich volle Kognition zukommt.</w:t>
      </w:r>
    </w:p>
    <w:p>
      <w:r>
        <w:rPr>
          <w:b/>
        </w:rPr>
        <w:t>E. 3.1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3.2</w:t>
      </w:r>
    </w:p>
    <w:p>
      <w:r>
        <w:t>Der Beschwerdeführer hat sich vor seiner Einreise in die Schweiz unbestrittenermassen in Italien aufgehalten. Auch haben ihm die italienischen Behörden einen Schutzstatus erteilt und seiner Rück­übernahme zugestimmt, weshalb er ohne weiteres nach Italien zurückkehren kann. Italien ist ein verfolgungssicherer Drittstaat im Sinne von Art. 6a Abs. 2 Bst. b AsylG. Da der Beschwerdeführer somit bereits Schutz gefunden und mithin kein Rechtsschutzinteresse an einer Beurteilung seines Asylgesuchs durch die schweizerischen Behörden hat, ist die Vorinstanz gestützt auf Art. 31a Abs. 1 Bst. a AsylG zu Recht nicht auf das Asylgesuch des Beschwerdeführers eingetreten.</w:t>
      </w:r>
    </w:p>
    <w:p>
      <w:r>
        <w:rPr>
          <w:b/>
        </w:rPr>
        <w:t>E. 4</w:t>
      </w:r>
    </w:p>
    <w:p>
      <w:r>
        <w:t>Lehnt die Vorinstanz das Asylgesuch ab oder tritt sie darauf nicht ein, so verfügt sie in der Regel die Wegweisung der asylsuchenden Person aus der Schweiz (vgl. Art. 44 AsylG, 1. Teilsatz).</w:t>
      </w:r>
    </w:p>
    <w:p>
      <w:r>
        <w:rPr>
          <w:b/>
        </w:rPr>
        <w:t>E. 4.1</w:t>
      </w:r>
    </w:p>
    <w:p>
      <w:r>
        <w:t>Der Beschwerdeführer macht auf Beschwerdeebene unter anderem geltend, seine Wegweisung nach Italien verstosse gegen den Grundsatz der Einheit der Familie gemäss Art. 44 AsylG. Unter dem Begriff der "Einheit der Familie" ist zu verstehen, dass Familienmitglieder nicht voneinander getrennt werden, sondern faktisch zusammenleben können, und dass der Familie nach Möglichkeit ein einheitlicher Rechtsstatus eingeräumt wird. Dementsprechend beinhaltet Art. 44 AsylG, dass die vorläufige Aufnahme des einen Familienmitglieds regelmässig zur vorläufigen Aufnahme der ganzen Familie führt. Aus dem Wortlaut von Art. 44 AsylG, wonach bei der Wegweisung der Grundsatz der Familieneinheit "zu berücksichtigen" ist, lässt sich indes ableiten, dass vom dargelegten Prinzip - im Fall der vorläufigen Aufnahme des einen Familienmitglieds sei die ganze Familie aufzunehmen - im begründeten Einzelfall abgewichen werden kann (vgl. Entscheide und Mitteilungen der Schweizerischen Asylrekurskommission [EMARK] 1995 Nr. 24 E. 7, 10 und 11). Auf den Grundsatz der Einheit der Familie kann sich beispielsweise praxisgemäss nicht berufen, wer - wie der Beschwerdeführer - nach der Gewährung der vorläufigen Aufnahme an seine Familienmitglieder in die Schweiz eingereist ist und hierzulande ein - angesichts der Tatsache, dass er in einem sicheren Drittstaat Schutz erhalten hat - augenfällig unbegründetes Asylgesuch gestellt hat, um über Art. 44 AsylG in die vorläufige Aufnahme seiner Familienmitglieder aufgenommen zu werden. So ist ein entsprechendes Verhalten insofern rechtsmissbräuchlich, als dadurch die gesetzlichen Be­stimmungen über den Familiennachzug mittels Asylgesuchstellung in der Schweiz umgangen werden sollen (vgl. Urteil des BVGer E-3006/2012 vom 30. August 2012 S. 8 f.). Die angefochtene Verfügung verstösst demnach nicht gegen den Grundsatz der Einheit der Familie gemäss Art. 44 AsylG, weshalb der Vorinstanz nicht vorgeworfen werden kann, diese Bestimmung nicht angewendet zu haben.</w:t>
      </w:r>
    </w:p>
    <w:p>
      <w:r>
        <w:rPr>
          <w:b/>
        </w:rPr>
        <w:t>E. 4.2</w:t>
      </w:r>
    </w:p>
    <w:p>
      <w:r>
        <w:t>Ferner macht der Beschwerdeführer auf Beschwerdeebene geltend, seine Wegweisung nach Italien komme einer Verletzung von Art. 8 EMRK gleich.</w:t>
      </w:r>
    </w:p>
    <w:p>
      <w:r>
        <w:rPr>
          <w:b/>
        </w:rPr>
        <w:t>E. 4.2.1</w:t>
      </w:r>
    </w:p>
    <w:p>
      <w:r>
        <w:t>Gemäss ständiger bundesgerichtlicher Rechtsprechung kann sich - im sachlichen Zuständigkeitsbereich des Bundesgerichts (vgl. Art. 83 Bst. c Ziff. 2 BGG) auf den Schutz des Familienlebens nach Art. 8 EMRK nur berufen, wer hierzulande ein Mitglied seiner Kernfamilie hat, das über ein gefestigtes Anwesenheitsrecht verfügt (vgl. BGE 139 I 330 E. 2.1). Von einem solchen gefestigten Anwesenheitsrecht ist ohne weiteres bei schweizerischer Staatsangehörigkeit sowie bei einer Niederlassungs- oder Aufenthaltsbewilligung, auf deren Verlängerung ein Anspruch besteht, auszugehen (vgl. statt vieler BGE 135 I 143; 130 II 281, je m.w.H.). Auf den Schutz des Privat- und Familienlebens können sich in Ausnahmesituationen nach der Rechtsprechung des Europäischen Gerichtshofes für Menschenrechte (EGMR) aber auch Personen berufen, deren Anwesenheit rechtlich nicht geregelt ist respektive die allenfalls über kein (gefestigtes) Anwesenheitsrecht verfügen, deren Anwesenheit aber faktisch als Realität hingenommen wird beziehungsweise aus objektiven Gründen hingenommen werden muss (vgl. BGE 138 I 246 E. 3.3.1 m.w.H.). Der Vollständigkeit halber ist zu bemerken, dass die Rechtsprechung des Bundesgerichts in BGE 126 II 335 - wonach sich ein vorläufig aufgenommener Flüchtling für ein gefestigtes Anwesenheitsrecht nicht auf Art. 8 EMRK berufen könne, nachdem die Frage des Familiennachzugs nicht mehr von der Erteilung einer kantonalen Aufenthaltsbewilligung abhänge, sondern vom Gesetzgeber in aArt. 51 Abs. 5 AsylG respektive aArt. 39 der Asylverordnung 1 vom 11. August 1999 (AsylV 1, SR 142.311) asylrechtlich geregelt worden sei - nicht mehr einschlägig ist. So beruft sich das Bundesgericht in diesem Entscheid zum Schutz des Privat- und Familienlebens alternativ zu Art. 8 EMRK auf Be-stimmungen, die zwischenzeitlich aufgehoben wurden. Die Ehefrau und der minderjährige Sohn des Beschwerdeführers, F._______, (alle anderen Kinder sind bereits volljährig und mithin nicht mehr Teil der Kernfamilie) wurden am 7. November 2011 in der Schweiz als Flüchtlinge vorläufig aufgenommen. Inwiefern sich der Beschwerdeführer gestützt darauf oder wegen Vorliegens einer Ausnahmesituation im vorerwähnten Sinn auf den Schutz des Privat- und Familienlebens gemäss Art. 8 EMRK berufen kann, kann aus den nachfolgend in E. 4.2.2 genannten Gründen vorliegend offen bleiben.</w:t>
      </w:r>
    </w:p>
    <w:p>
      <w:r>
        <w:rPr>
          <w:b/>
        </w:rPr>
        <w:t>E. 4.2.2</w:t>
      </w:r>
    </w:p>
    <w:p>
      <w:r>
        <w:t>Gemäss ständiger Rechtsprechung des Bundesgerichts kommt Art. 8 EMRK - im Sinne einer kumulativen Voraussetzung zur in E. 4.2.1 genannten Bedingung - ferner nur dann zur Anwendung, wenn die privaten Interessen der betroffenen Person respektive ihrer Angehörigen an der Erteilung beziehungsweise am Erhalt des Anwesenheitsrechts dem öffentlichen Interesse an dessen Verweigerung vorgehen (vgl. BGE 139 I 330 E. 2.2 f. m.w.H.). In der vorliegenden Konstellation liegt das öffentliche Interesse in der Migrationsregulierung. Das private Interesse des Beschwerdeführers und seiner Angehörigen ist bereits deshalb geringer zu werten als dieses öffentliche Interesse, weil sie ihr Recht auf Familienleben dadurch wahren können, dass sie das für eine Familienzusammenführung vorgesehene Verfahren gemäss Art. 85 Abs. 7 AuG einleiten. In diesem Zusammenhang ist ausdrücklich darauf hinzuweisen, dass Art. 8 EMRK auch im Rahmen jenes Verfahrens Rechnung getragen werden muss. Sollten der Beschwerdeführer respektive seine Angehörigen der Ansicht sein, dass die zuständigen Behörden Art. 8 EMRK bei der Anwendung von Art. 85 Abs. 7 AuG ungenügend Rechnung getragen haben, steht ihnen zunächst der inländische Rechtsweg und danach auch noch die Beschwerde an den EGMR offen. Da der Beschwerdeführer vor seiner Einreise in die Schweiz Mitte 2014 - abgesehen von einem kurzen Aufenthalt in Grossbritannien - seit 2007 in Italien gelebt hatte und sein Aufenthalt hierzulande lediglich zum Zweck der Prüfung seines Asylgesuchs erlaubt war, weshalb es ihm und seinen Angehörigen von vorneherein hätte bewusst sein müssen, dass ein allfällig aufgenommenes Familienleben möglicherweise nur von vorübergehender Dauer ist, kann es dem Beschwerdeführer auch zugemutet werden, den Ausgang des Familienzusammenführungsverfahrens nach Art. 85 Abs. 7 AuG (i.V.m. Art. 8 EMRK) im Ausland abzuwarten. Dieser Entscheid dürfte indes dazu führen, dass es rechtsmissbräuchlich wäre, im Rahmen des Familienzusammenführungsverfahrens nach Art. 85 Abs. 7 AuG zu argumentieren, zwischen dem Beschwerdeführer und seinen Angehörigen bestehe keine na­he, echte und tatsächlich gelebte Beziehung im Sinne von Art. 8 EMRK, wird ihnen dies durch die entsprechende behördliche Anordnung und im heutigen Zeitpunkt ohne ihr eigenes Zutun doch gerade verunmöglicht. Sollte die zuständige Behörde ein allfälliges Gesuch um Familienzusammenführung nicht innert nützlicher Frist behandeln, steht dem Beschwerdeführer und seinen Angehörigen zudem eine Rechtsverzögerungsbeschwerde offen.</w:t>
      </w:r>
    </w:p>
    <w:p>
      <w:r>
        <w:rPr>
          <w:b/>
        </w:rPr>
        <w:t>E. 4.3</w:t>
      </w:r>
    </w:p>
    <w:p>
      <w:r>
        <w:t>In diesem Zusammenhang ist der Vollständigkeit halber festzuhalten, dass vorliegend infolge der Abwesenheit des Beschwerdeführers nicht von einer Gefährdung des Kindeswohls seines minderjährigen Sohnes, F._______, auszugehen ist. So lebte F._______, der im (...) dieses Jahres volljährig wird, von seinem achten bis zu seinem vierzehnten Lebensjahr zusammen mit seinen Geschwister alleine mit seiner Mutter, ohne in dieser Zeit auch nur Kontakt zu seinem Vater gehabt zu haben. Obwohl F._______ nun wieder mit seinen Eltern zusammenwohnt, wurde er seit (...) immer wieder fremdplatziert, so dass er insgesamt nur kurze Zeit mit seinem Vater zusammengelebt hatte. Im Übrigen wurde im vorliegenden Verfahren auch nicht geltend gemacht, das Kindeswohl von F._______ sei durch die Rückschaffung des Beschwerdeführers nach Italien gefährdet.</w:t>
      </w:r>
    </w:p>
    <w:p>
      <w:r>
        <w:rPr>
          <w:b/>
        </w:rPr>
        <w:t>E. 5</w:t>
      </w:r>
    </w:p>
    <w:p>
      <w:r>
        <w:t>Verfügt die Vorinstanz die Wegweisung, ordnet sie deren Vollzug an (vgl. Art. 44 AsylG, 2. Teilsatz). Ist der Vollzug der Wegweisung nicht zulässig, nicht zumutbar oder nicht möglich, so regelt das SEM das Anwesenheitsverhältnis nach den gesetzlichen Bestimmungen über die vorläufige Aufnahme (Art. 83 Abs. 1 AuG).</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Das SEM wies in der angefochtenen Verfügung zutreffend darauf hin, dass der Beschwerdeführer in einen Drittstaat (Italien) reisen kann, in welchem er Schutz vor Rückschiebung im Sinne von Art. 5 Abs. 1 AsylG findet.</w:t>
      </w:r>
    </w:p>
    <w:p>
      <w:r>
        <w:rPr>
          <w:b/>
        </w:rPr>
        <w:t>E. 5.1.2</w:t>
      </w:r>
    </w:p>
    <w:p>
      <w:r>
        <w:t>Es sind sodann keine Anhaltspunkte für eine dem Beschwerdeführer in Italien drohende menschenrechtswidrige Behandlung im Sinne von Art. 25 Abs. 3 BV, von Art. 3 des Übereinkommens vom 10. Dezember 1984 gegen Folter und andere grausame, unmenschliche oder erniedrigende Behandlung oder Strafe (FoK, SR 0.105) und der Praxis zu Art. 3 EMRK ersichtlich. Zwar ist unbestritten, dass das italienische Fürsorgesystem für Asyl­suchende und Personen mit Schutzstatus lückenhaft ist und in vielen Punkten in der Kritik steht (vgl. namentlich die Berichte der SFH, Italien: Aufnahmebedingungen, Aktuelle Situation von Asylsuchenden und Schutzberechtigten, insbesondere Dublin-Rückkehrenden, Bern Oktober 2013, sowie Muriel Trummer, Bewegungsfreiheit für mittellose Personen mit Schutzstatus - Abklärungen im Nachgang zum Urteil des Bundesverwaltungsgerichts vom 14. November 2013, D-4751/2013, Bern, 4. August 2014). Jedoch erachtet der EGMR die Wegweisung von Flüchtlingen nach Italien in seiner Rechtsprechung grundsätzlich als mit Art. 3 EMRK vereinbar, selbst wenn damit für die gesuchstellende Person eine Verschlechterung der materiellen und sozialen Lebensumstände einhergeht. (vgl. Urteil des EGMR Samsam Mohammed Hussein und andere gegen Niederlande und Italien vom 2. April 2013, Nr. 27725/10, §70 f.; Urteil Naima Mohammed Hassan und andere gegen Niederlande und Italien vom 27. August 2013, Nr. 40524/10, §179 f.). Hinsichtlich des Vorbringens des Beschwerdeführers, er habe in Italien zeitweise auf der Strasse gelebt, manchmal sogar im Winter, ist darauf hinzuweisen, dass ihm als Be­güns­tigtem von subsidiärem Schutz in Italien die Rechte aus der Richtlinie des Europäischen Parlaments und des Rates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(sogenannte Qualifikationsrichtlinie) zustehen. Dazu gehören Ansprüche be­züglich Zugang zu Wohnraum und Sozialleistungen. Es liegen keine erhärteten Hin­weise vor, wonach sich Italien systematisch nicht an seine diesbezüglichen Verpflichtungen halten würde. Es obliegt somit dem Beschwerdeführer, bei den zuständigen Behörden seine Rechte geltend zu machen und nötigenfalls auf dem Rechtsweg durchzusetzen (vgl. Urteil des BVGer D 1609/2015 vom 12. Mai 2015 E. 7.3).</w:t>
      </w:r>
    </w:p>
    <w:p>
      <w:r>
        <w:rPr>
          <w:b/>
        </w:rPr>
        <w:t>E. 5.1.3</w:t>
      </w:r>
    </w:p>
    <w:p>
      <w:r>
        <w:t>Bezüglich der geltend gemachten Verletzung von Art. 8 EMRK und einer allfälligen Gefährdung des Kindeswohls von F._______ - Fragen, die auch vollzugsrelevant sind - ist auf die Ausführungen zur Wegweisung in E. 4 zu verweisen, wo dies verneint wurde.</w:t>
      </w:r>
    </w:p>
    <w:p>
      <w:r>
        <w:rPr>
          <w:b/>
        </w:rPr>
        <w:t>E. 5.1.4</w:t>
      </w:r>
    </w:p>
    <w:p>
      <w:r>
        <w:t>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Der Beschwerdeführer macht in dieser Hinsicht geltend, er habe - wie bereits zuvor erwähnt - trotz der Asylgewährung in Italien auf der Strasse leben müssen, und sei deshalb an einer [chronischen Krankheit] erkrankt. Aus diesem Grund sei er in Italien auch längere Zeit im Spital gewesen. Zudem habe er ein schlimmes Ekzem an der Schulter, kaum Kraft im linken Arm und leide an ständigen Magenschmerzen. Gemäss dem auf Beschwerdeebene eingereichten Arztzeugnis vom 14. Dezember 2015 wurde beim Beschwerdeführer denn auch eine [weitere Krankheit] diagnostiziert. Aufgrund der Zuerkennung eines Schutzstatus in Italien kann der Beschwerdeführer dort einen Anspruch auf Behandlung der vorgebrachten gesundheitlichen Probleme geltend machen (vgl. dazu namentlich Art. 30 Qualifikationsrichtlinie). Es ist auch auf die genügende medizinische Infrastruktur in Italien hinzuweisen, die eine Behandlung zweifellos zulässt. Demnach besteht kein Anlass zur Annahme, der Beschwerdeführer sei auf eine Behandlung angewiesen, welche nur in der Schweiz erbracht werden könnte. Sein Gesundheitszustand steht einer Rückkehr nach Italien demnach nicht entgegen. Das SEM wird diesem im Rahmen der Überstellung indessen angemessen und frühzeitig (bereits bei der Vorbereitung der Rückführung) Rechnung zu tragen haben. Betreffend die schwierige Lebenssituation des Beschwerdeführers in Italien ist - wie bereits zuvor erwähnt - davon auszugehen, dass er gegenüber den italienischen Behörden seinen Anspruch auf Unterstützung geltend machen kann. Trotz der anerkanntermassen nicht einfachen Bedingungen in Italien für Asylsuchende, anerkannte Flüchtlinge und Personen mit einem subsidiären Schutzstatus, liegen keine Gründe für die Annahme vor, Italien würde dem Beschwerdeführer dauerhaft die ihm zustehenden minimalen Lebensbedingungen vorenthalten. Im Falle einer vorübergehenden Einschränkung könnte er sich ebenso an die italienischen Behörden wenden und die ihm zustehenden Rechte beziehungsweise materiellen Leistungen auf dem Rechtsweg einfordern, gegebenenfalls mit Beistand der in Italien tätigen Hilfsorganisationen.</w:t>
      </w:r>
    </w:p>
    <w:p>
      <w:r>
        <w:rPr>
          <w:b/>
        </w:rPr>
        <w:t>E. 5.2.2</w:t>
      </w:r>
    </w:p>
    <w:p>
      <w:r>
        <w:t>Nach dem Gesagten besteht insgesamt kein Grund zur Annahme, der Beschwerdeführer würde im Falle einer Rückführung nach Italien in eine existenzielle respektive medizinische Notlage geraten. Mithin erweist sich der Vollzug der Wegweisung auch als zumutbar.</w:t>
      </w:r>
    </w:p>
    <w:p>
      <w:r>
        <w:rPr>
          <w:b/>
        </w:rPr>
        <w:t>E. 5.3</w:t>
      </w:r>
    </w:p>
    <w:p>
      <w:r>
        <w:t>Der Vollzug der Wegweisung ist schliesslich auch möglich (Art. 83 Abs. 2 AuG), zumal die italienischen Behörden einer Rückübernahme des Beschwerdeführers ausdrücklich zugestimmt haben.</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Verfahrensausgang wären die Kosten dem Beschwerdeführer aufzuerlegen (Art. 63 Abs. 1 VwVG). Nachdem ihm mit Zwischenverfügung vom 25. Mai 2016 indes die unentgeltliche Rechtspflege im Sinne von Art. 65 Abs. 1 VwVG gewährt wurde, sind keine Verfahrenskosten zu erheben.</w:t>
      </w:r>
    </w:p>
    <w:p>
      <w:r>
        <w:rPr>
          <w:b/>
        </w:rPr>
        <w:t>E. 7.2</w:t>
      </w:r>
    </w:p>
    <w:p>
      <w:r>
        <w:t>Beim vorliegenden Verfahrensausgang ist keine Parteientschädigung seitens der Vorinstanz geschuldet (vgl. Art. 64 VwVG.). Hingegen ist die Rechtsvertreterin des Beschwerdeführers im Beschwerdeverfahren gestützt auf Art. 110a AsylG i.V.m. Art. 65 Abs. 1 VwVG als unentgeltliche Rechtsbeiständin eingesetzt worden, weshalb ihr eine Entschädigung zu Lasten des Gerichts auszurichten ist. Der von der Rechtsvertreterin in ihrer mit der Beschwerdeschrift eingereichten Kostennote ausgewiesene Gesamtaufwand von 7 Stunden erscheint für eine 8-seitige Beschwerdeschrift, eine jeweils 1-seitige Eingabe vom 2. und vom 21. Juni 2016 sowie eine 1.5-seitige Replik nicht vollumfänglich angemessen und ist um eine Stunde zu kürzen. Beim akzeptierten Stundenansatz von Fr. 220.- (vgl. Eingabe vom 2. Juni 2016) ist somit seitens des Gerichts - unter Berücksichtigung der ausgewiesenen Auslagen von Fr. 15.80 - eine Entschädigung von total Fr. 1'335.80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