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E-3109/2024 vom 6. Mai 2024</w:t>
      </w:r>
    </w:p>
    <w:p>
      <w:r>
        <w:t>Bundesverwaltungsgericht, 2024-05-06, FR</w:t>
      </w:r>
    </w:p>
    <w:p>
      <w:r>
        <w:rPr>
          <w:b/>
        </w:rPr>
        <w:t xml:space="preserve">Quelle: </w:t>
      </w:r>
      <w:r>
        <w:t>https://mcp.opencaselaw.ch/entscheid/bvger_E-3109_2024_d20240506</w:t>
      </w:r>
    </w:p>
    <w:p>
      <w:r>
        <w:t>FR: TAF E-3109/2024 du 6 mai 2024</w:t>
      </w:r>
    </w:p>
    <w:p>
      <w:r>
        <w:t>IT: TAF E-3109/2024 del 6 maggio 2024</w:t>
      </w:r>
    </w:p>
    <w:p>
      <w:pPr>
        <w:pStyle w:val="Heading2"/>
      </w:pPr>
      <w:r>
        <w:t>Regeste</w:t>
      </w:r>
    </w:p>
    <w:p>
      <w:r>
        <w:t>Ex&amp;eacute;cution du renvoi | Exécution du renvoi; décision du SEM du 6 mai 2024</w:t>
      </w:r>
    </w:p>
    <w:p>
      <w:pPr>
        <w:pStyle w:val="Heading2"/>
      </w:pPr>
      <w:r>
        <w:t>Erwägungen</w:t>
      </w:r>
    </w:p>
    <w:p>
      <w:r>
        <w:rPr>
          <w:b/>
        </w:rPr>
        <w:t>E. 28</w:t>
      </w:r>
    </w:p>
    <w:p>
      <w:r>
        <w:t>novembre 2018 consid. 2.2), étant au surplus précisé que la situation personnelle du recourant et de son frère présente des différences notables nécessitant une analyse individualisée, qu’en l’espèce, l’exécution du renvoi est le seul objet du litige, qu’il sied ainsi d’examiner si cette mesure est licite, raisonnablement exigible et possible (art. 44 LAsi, en lien avec l’art. 83 al. 1 à 4 de la loi</w:t>
      </w:r>
    </w:p>
    <w:p>
      <w:r>
        <w:t>E-3109/2024 Page 4 fédérale du 16 décembre 2005 sur les étrangers et l'intégration [LEI, RS 142.20]), qu'en vertu de l'art. 83 al. 3 LEI,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n'est pas entré en matière sur la demande d’asile du recourant (vu l’absence de demande de protection contre des persécutions), point qui est entré en force de chose décidée,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(Conv. torture, RS 0.105), que l’intéressé n’invoque aucun motif propre faisant obstacle à son retour en Géorgie, qu’il relève toutefois que son départ de Suisse aurait des répercussions néfastes sur l’état de santé de son frère, qui, atteint d’une maladie grave (liposarcome), serait dépendant de lui pour "tous les gestes usuels de la vie quotidienne", de sorte que sa présence dans ce pays serait indispensable, qu’il soutient que l’exécution de son renvoi aurait pour conséquence de le séparer de son frère, ce qui constituerait une atteinte à l’art. 8 CEDH, que ce grief s’avère toutefois infondé étant donné que B._______ est lui aussi tenu de quitter la Suisse (cf. procédure E-3107/2024), que l’exécution du renvoi de l’intéressé s’avère par conséquent licite (art. 83 al. 3 LEI ; cf. ATAF 2014/28 consid. 11),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E-3109/2024 Page 5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que la Géorgie ne se trouve pas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que ce pays a du reste été désigné par le Conseil fédéral comme Etat sûr (safe country), avec effet au 1er octobre 2019, qu'en outre, il ne ressort du dossier aucun élément individuel dont on pourrait inférer que l'exécution du renvoi impliquerait une mise en danger concrète du recourant pour des motifs qui lui sont propres, que, comme l’a indiqué à juste titre le SEM dans la décision attaquée, l’intéressé est dans la force de l’âge, au bénéfice de plusieurs années d’expérience professionnelle dans le domaine de la distribution (d’alimentation et de matériaux de construction) à l’étranger et en Géorgie, où il dispose d’un important réseau familial et social, et n’a pas établi souffrir de problème de santé actuels susceptibles de constituer un obstacle à l’exécution de son renvoi (problèmes ophtalmiques, maux de dos et d’estomac déjà traités en Géorgie), qu’il devrait dès lors pouvoir se réinstaller dans son pays d’origine sans rencontrer de difficultés excessives, étant précisé qu’il y retrouvera ses enfants et son épouse, laquelle devrait pouvoir le soutenir financièrement le temps qu’il retrouve un emploi, qu'enfin, l'exécution du renvoi du recourant ne se heurte pas à des obstacles insurmontables d'ordre technique et s'avère également possible, celui-ci disposant d’une carte d’identité nationale en cours de validité et étant en mesure d'entreprendre toute démarche nécessaire auprès de la représentation de son pays d'origine en vue de l'obtention de documents</w:t>
      </w:r>
    </w:p>
    <w:p>
      <w:r>
        <w:t>E-3109/2024 Page 6 de voyage lui permettant de quitter la Suisse (art. 83 al. 2 LEI ; cf. ATAF 2008/34 consid. 12), qu’en conséquence, le recours est rejeté, qu’il est renoncé à un échange d’écritures (art. 111a al. 1 LAsi), que dans la mesure où il est immédiatement statué sur le fond, la demande tendant à la dispense du versement d’une avance de frais est sans objet, que les conclusions du recours étant apparues d'emblée vouées à l'échec, en ce qui concerne A._______, la requête d’assistance judiciaire totale est rejetée, l’une des conditions cumulatives à son octroi n’étant pas remplie (art. 102m al. 1 LAsi, en lien avec l’art. 65 al. 1 PA), que partant,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cependant exceptionnellement renoncé à leur perception (art. 6 let. b FITAF),</w:t>
      </w:r>
    </w:p>
    <w:p>
      <w:r>
        <w:t>(dispositif : page suivante)</w:t>
      </w:r>
    </w:p>
    <w:p>
      <w:r>
        <w:t>E-3109/2024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