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E-3105/2024 vom 10. April 2024</w:t>
      </w:r>
    </w:p>
    <w:p>
      <w:r>
        <w:t>Bundesverwaltungsgericht, 2024-04-10, FR</w:t>
      </w:r>
    </w:p>
    <w:p>
      <w:r>
        <w:rPr>
          <w:b/>
        </w:rPr>
        <w:t xml:space="preserve">Quelle: </w:t>
      </w:r>
      <w:r>
        <w:t>https://mcp.opencaselaw.ch/entscheid/bvger_E-3105_2024_d20240410</w:t>
      </w:r>
    </w:p>
    <w:p>
      <w:r>
        <w:t>FR: TAF E-3105/2024 du 10 avril 2024</w:t>
      </w:r>
    </w:p>
    <w:p>
      <w:r>
        <w:t>IT: TAF E-3105/2024 del 10 aprile 2024</w:t>
      </w:r>
    </w:p>
    <w:p>
      <w:pPr>
        <w:pStyle w:val="Heading2"/>
      </w:pPr>
      <w:r>
        <w:t>Regeste</w:t>
      </w:r>
    </w:p>
    <w:p>
      <w:r>
        <w:t>Asile et renvoi | Qualité de réfugié et renvoi ; décision du SEM du 10 avril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