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E-30/2017 vom 22. Februar 2017</w:t>
      </w:r>
    </w:p>
    <w:p>
      <w:r>
        <w:t>Bundesverwaltungsgericht, 2017-02-22, DE</w:t>
      </w:r>
    </w:p>
    <w:p>
      <w:r>
        <w:rPr>
          <w:b/>
        </w:rPr>
        <w:t xml:space="preserve">Quelle: </w:t>
      </w:r>
      <w:r>
        <w:t>https://mcp.opencaselaw.ch/entscheid/bvger_E-30_2017</w:t>
      </w:r>
    </w:p>
    <w:p>
      <w:r>
        <w:t>FR: TAF E-30/2017 du 22 février 2017</w:t>
      </w:r>
    </w:p>
    <w:p>
      <w:r>
        <w:t>IT: TAF E-30/2017 del 22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Flüchtlingseigenschaft des Beschwerdeführers. Im Asyl- und Wegweisungspunkt wird die Verfügung von ihm nicht angefochten und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4.2</w:t>
      </w:r>
    </w:p>
    <w:p>
      <w:r>
        <w:t>Der Beschwerdeführer wendet dagegen ein, die von der Vorinstanz vollzogene Praxisänderung sei aus zwei Gründen rechtlich nicht haltbar. Einerseits basiere der Entscheid auf einer ungenügenden Informationsgrundlage, andererseits erfülle die Praxisänderung die Zulässigkeitsvoraussetzungen einer Abweichung von der ständigen Rechtsprechung des Bundesverwaltungsgerichts nicht. Aus dem in der angefochtenen Verfügung zitierten Bericht der Vorinstanz gehe deutlich hervor, dass auch heute nicht davon ausgegangen werden könne, dass aus Eritrea illegal ausgereiste Personen im Falle einer Rückkehr keine Nachteile im Sinne von Art. 3 AsylG zu befürchten hätten. Er schildere seine illegale Ausreise schlüssig mit vielen Details und Realkennzeichen. Seine Vorbringen hierzu seien gesamthaft als glaubhaft einzustufen.</w:t>
      </w:r>
    </w:p>
    <w:p>
      <w:r>
        <w:rPr>
          <w:b/>
        </w:rPr>
        <w:t>E. 4.3</w:t>
      </w:r>
    </w:p>
    <w:p>
      <w:r>
        <w:t>Der Beschwerdeführer macht geltend, die Vorinstanz habe das korrekte Vorgehen nicht befolgt, welches das Bundesverwaltungsgericht ihr in einem Grundsatzentscheid für Praxisänderungen vorgeschrieben habe. Das Bundesverwaltungsgericht hat in einem Koordinationsentscheid (Urteil des BVGer D-7898/2015 vom 30. Januar 2017 [zur Publikation als Referenzurteil vorgesehen]) die Zulässigkeit der durch die Vorinstanz vorgenommenen Praxisänderung bestätigt. Damit hat es auch implizit das Vorgehen der Vorinstanz bestätigt, womit der Beschwerdeführer aus BVGE 2010/54 nichts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finden sich in der angefochtenen Verfügung durchaus Hinweise auf die Praxisänderung der Vorinstanz (vgl. angefochtene Verfügung S. 3 f.) und die Vorinstanz hat die Praxisänderung dem Gericht vorgängig kommuniziert und die Öffentlichkeit durch die Medienkonferenz vom 23. Juni 2016 informiert. Die Vorgehensweise der Vorinstanz ist somit nicht zu beanstanden.</w:t>
      </w:r>
    </w:p>
    <w:p>
      <w:r>
        <w:rPr>
          <w:b/>
        </w:rPr>
        <w:t>E. 4.4</w:t>
      </w:r>
    </w:p>
    <w:p>
      <w:r>
        <w:t>Der Beschwerdeführer macht weiter geltend, die Verfügung der Vorinstanz basiere auf einer ungenügenden Informationsgrundlage und sei inhaltlich falsch.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erwähnten Urteil D-7898/2015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weist neben der illegalen Ausreise keine zusätzlichen Anknüpfungspunkte für eine Verschärfung seines Profils auf, weshalb sich keine asylrechtlich beachtliche Verfolgung annehmen lässt.</w:t>
      </w:r>
    </w:p>
    <w:p>
      <w:r>
        <w:rPr>
          <w:b/>
        </w:rPr>
        <w:t>E. 4.5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Bei diesem Ausgang des Verfahrens wären die Kosten dem Beschwerdeführer aufzuerlegen (Art. 63 Abs. 1 VwVG). Da der Antrag auf Gewährung der unentgeltlichen Prozessführung mit Zwischenverfügung vom 4. Januar 2017 gutgeheissen wurde, sind keine Kosten zu erheben.</w:t>
      </w:r>
    </w:p>
    <w:p>
      <w:r>
        <w:rPr>
          <w:b/>
        </w:rPr>
        <w:t>E. 6.2</w:t>
      </w:r>
    </w:p>
    <w:p>
      <w:r>
        <w:t>Mit Zwischenverfügung vom 4. Januar 2017 wurde dem Beschwerdeführer die unentgeltliche Rechtsverbeiständung gewährt und MLaw Michèle Künzi als amtliche Vertreterin eingesetzt. Die Rechtsvertreterin reichte eine Kostennote in der Höhe von Fr. 1'119.20 (5.5 Stunden à Fr. 180.- plus Mehrwertsteuer, Fr. 50.00 Auslagen) ein. Bei amtlicher Vertretung geht das Bundesverwaltungsgericht in der Regel von einem Stundenansatz von Fr. 200.- bis Fr. 220.- für Anwältinnen und Anwälte und Fr. 100.- bis Fr. 150.- für nicht-anwaltliche Vertreterinnen und Vertreter aus. Es wird nur der notwendige Aufwand entschädigt (vgl. Art. 8 Abs. 2 des Reglements vom 21. Februar 2008 über die Kosten und Entschädigungen vor dem Bundesverwaltungsgericht [VGKE, SR 173.320.2]). Vorliegend ist mit einem Stundenansatz von Fr. 150.- zu rechnen und die Honorarnote entsprechend zu kürzen. Das amtliche Honorar ist deshalb auf Fr. 941.-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