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E-3098/2024 vom 12. April 2024</w:t>
      </w:r>
    </w:p>
    <w:p>
      <w:r>
        <w:t>Bundesverwaltungsgericht, 2024-04-12, DE</w:t>
      </w:r>
    </w:p>
    <w:p>
      <w:r>
        <w:rPr>
          <w:b/>
        </w:rPr>
        <w:t xml:space="preserve">Quelle: </w:t>
      </w:r>
      <w:r>
        <w:t>https://mcp.opencaselaw.ch/entscheid/bvger_E-3098_2024_d20240412</w:t>
      </w:r>
    </w:p>
    <w:p>
      <w:r>
        <w:t>FR: TAF E-3098/2024 du 12 avril 2024</w:t>
      </w:r>
    </w:p>
    <w:p>
      <w:r>
        <w:t>IT: TAF E-3098/2024 del 12 aprile 2024</w:t>
      </w:r>
    </w:p>
    <w:p>
      <w:pPr>
        <w:pStyle w:val="Heading2"/>
      </w:pPr>
      <w:r>
        <w:t>Regeste</w:t>
      </w:r>
    </w:p>
    <w:p>
      <w:r>
        <w:t>Verweigerung vor&amp;uuml;bergehender Schutz | Verweigerung vorübergehender Schutz; Verfügung des SEM vom 12. April 2024</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so auch vorliegend – endgültig (Art. 72 i.V.m. Art. 105 AsylG [SR 142.31]; Art. 83 Bst. d Ziff. 1 BGG). Der Beschwerdeführer hat am Verfahren vor der Vorinstanz teilge- nommen, ist durch die angefochtene Verfügung besonders berührt und hat ein schutzwürdiges Interesse an deren Aufhebung beziehungsweise Ände- rung. Er ist daher zur Einreichung der Beschwerde legitimiert (Art. 72 i.V.m. Art. 108 Abs. 6 AsylG, Art. 48 Abs. 1 und Art. 52 Abs. 1 VwVG). Auf die frist- und formgerecht eingereichte Beschwerde ist – mit Vorbehalt nachstehen- der Erwägung – einzutreten.</w:t>
      </w:r>
    </w:p>
    <w:p>
      <w:r>
        <w:rPr>
          <w:b/>
        </w:rPr>
        <w:t>E. 1.2</w:t>
      </w:r>
    </w:p>
    <w:p>
      <w:r>
        <w:t>Nachdem die Beschwerde aufschiebende Wirkung hat (Art. 55 VwVG) und das SEM diese nicht entzogen hat, ist auf den Antrag um Anordnung einer entsprechenden vorsorglichen Massnahme – wie bereits in der Zwi- schenverfügung vom 29. Mai 2024 festgehalten –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t>E-3098/2024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Eine Vereinigung nach Trennung durch Ereignisse nach Art. 4 AsylG setzt – analog zum asylrechtlichen Einbezug nach Art. 51 Abs. 1 AsylG – eine vorbestandene Familienbeziehung im Heimat- oder Herkunftsstaat respektive bei vorübergehendem Schutz in der vom Bundesrat in seinem Grundsatzentscheid definierten Konfliktregion voraus. Die Trennung der Familienangehörigen kann bei einer gemeinsamen Flucht aus der Konflikt- region auch ausserhalb derselben erfolgt sein; sie muss aber auf den Er- eignissen nach Art. 4 AsylG beruhen. Haben andere Gründe – etwa öko- nomische – zur Trennung geführt, ergibt sich daraus kein Anspruch auf Gewährung des vorübergehenden Schutzes (vgl. BBl 1996 II S. 82). Befinden sich anspruchsberechtigte Personen im Ausland, so ist ihre Ein- reise zu bewilligen (Art. 71 Abs. 3 AsylG). Analog zur Erteilung einer Ein- reisebewilligung zum Zweck der Familienzusammenführung von Personen mit Asylstatus im Sinne von Art. 51 Abs. 1 und 4 AsylG ist es Bedingung, dass bereits vor der Flucht eine Familiengemeinschaft zwischen der ge- suchstellenden und der anspruchsberechtigten Person bestanden hat, diese Familienbeziehung nach der Flucht im Rahmen des Möglichen auf- rechterhalten wird und vom Willen der Wiedervereinigung der Familie ge- tragen ist</w:t>
      </w:r>
    </w:p>
    <w:p>
      <w:r>
        <w:rPr>
          <w:b/>
        </w:rPr>
        <w:t>E. 4.3</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w:t>
      </w:r>
    </w:p>
    <w:p>
      <w:r>
        <w:t>E-3098/2024 Seite 6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Fami- lienangehörige gemäss Definition in Buchstabe a, welche mit einer gül- 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falle nicht in die Kategorie der Personen nach Ziff. I Bst. a – c der Allgemeinverfügung vom 11. März 2022. Er sei türkischer Staatsangehöriger und bei Kriegsausbruch in der Türkei wohnhaft gewe- sen. Weil er weder über eine ukrainische Kurzaufenthalts- noch über eine ukrainische Aufenthaltsbewilligung verfüge, falle eine Zugehörigkeit unter Ziff. I Bst. c der Allgemeinverfügung von vornherein ausser Betracht. Aus- serdem sei zu beachten, dass ohnehin kein gemeinsames Schutzersuchen vorliege (Ziff. I Bst. a der Allgemeinverfügung). Weiter seien auch die Voraussetzungen von Art. 71 Abs. 1 Bst. b AsylG nicht erfüllt. Die Familie sei nicht durch die Kriegsereignisse in der Ukraine getrennt worden, was eine bei Kriegsausbruch vorbestandene Familienbe- ziehung in der Ukraine voraussetze. Bei Kriegsausbruch habe der Be- schwerdeführer seinen festen Wohnsitz nicht in der Ukraine, sondern in der Türkei gehabt. Es könne nicht von einem Lebensmittelpunkt in der Ukraine ausgegangen werden. Vielmehr habe er sich in der Türkei offenbar mit der Absicht dauernden Verbleibens aufgehalten. Seinen Ausführungen seien denn auch keine Hinweise dahingehend zu entnehmen, dass ein Umzug in die Ukraine geplant gewesen wäre. Er und seine Ehefrau hätten sich vielmehr scheinbar seit etlichen Jahren ganz bewusst für die geschilderte Lebensform und die getrennten Wohnsitze entschieden. Entsprechend</w:t>
      </w:r>
    </w:p>
    <w:p>
      <w:r>
        <w:t>E-3098/2024 Seite 7 könne auch nicht von einer Trennung der Familienbeziehung durch die Kriegsereignisse gesprochen werden. Sodann bestünden Zweifel am Vor- liegen einer schützenswerten Beziehung. So sei er nach der Einreise in die Schweiz nicht zu seiner Ehefrau und den Kindern gezogen, sondern habe gewünscht, in der ihm zugewiesenen Kollektivunterkunft zu bleiben. Dar- über hinaus habe er ausgeführt, er und seine Ehefrau seien nach seiner Einreise in die Schweiz über einen Zeitraum von rund 80 Tagen hinweg getrennt gewesen. Auch wenn sich seinen Angaben zufolge die Situation zwischen ihm und seiner Ehefrau angeblich wieder stabilisiert habe, sei seine aktuelle Wohnadresse unverändert jene der Kollektivunterkunft. Sein Gesuch um Gewährung des vorübergehenden Schutzes sei abzulehnen.</w:t>
      </w:r>
    </w:p>
    <w:p>
      <w:r>
        <w:rPr>
          <w:b/>
        </w:rPr>
        <w:t>E. 5.2</w:t>
      </w:r>
    </w:p>
    <w:p>
      <w:r>
        <w:t>Der Beschwerdeführer entgegnete in der Beschwerde im Wesentli- chen, er erfülle gemäss dem Wortlaut der Ziff. I Bst. a der Allgemeinverfü- gung zwar die darin genannten Voraussetzungen nicht, weil er vor dem 24. Februar 2022 nicht in der Ukraine offiziell wohnhaft gewesen sei. Aber seine Situation sollte eine Ausnahme von dieser Bestimmung darstellen, weil er sich im Rahmen der Visaliberalisierung zwischen der Ukraine und der Türkei in der Ukraine habe aufhalten können, ohne über eine offizielle Wohnanschrift in der Ukraine zu verfügen. Aus dem Brief seiner Frau vom 15. April 2024 gehe hervor, dass er vor dem Krieg mit seiner Familie in der Ukraine gelebt habe. Er habe sich gelegentlich aus beruflichen Gründen für kurze Zeit in der Türkei aufgehalten und als Dolmetscher für Geschäfts- leute gearbeitet, da er Russisch gesprochen habe. Darüber hinaus gehe aus dem Schreiben der Schwiegereltern vom 14. Februar 2024 hervor, dass er und seine Ehefrau am 23. Januar 2022 wegen der Erkrankung sei- ner Schwester in die Türkei gereist seien. Da er vor dem Krieg mit seiner Familie in der Ukraine gelebt habe, sollte er in der Schweiz vorübergehen- den Schutz erhalten. Ferner sei das Kindeswohl zu berücksichtigen.</w:t>
      </w:r>
    </w:p>
    <w:p>
      <w:r>
        <w:rPr>
          <w:b/>
        </w:rPr>
        <w:t>E. 6.1</w:t>
      </w:r>
    </w:p>
    <w:p>
      <w:r>
        <w:t>Zunächst ist festzustellen, dass der Beschwerdeführer einerseits nicht ukrainischer Staatsbürger ist und vorliegend – trotz einer formell bestehen- den Ehe – weder heute noch im Zeitpunkt des Kriegsausbruchs in der Uk- raine von einer bestehenden schützenswerten Familiengemeinschaft aus- zugehen ist. Die Gründe hierfür wurden vom SEM in der angefochtenen Verfügung ausführlich dargelegt (vgl. a.a.O. Ziff. II.4). Ferner dürften selbst bei Annahme einer solchen Familiengemeinschaft ohnehin keine stichhal- tigen Gründe ersichtlich sein, weshalb es der binationalen Familie nicht möglich wäre, in der Türkei Schutz zu finden. Entsprechend sind sie im Sinne des Subsidiaritätsprinzips gar nicht erst auf den Schutz der Schweiz</w:t>
      </w:r>
    </w:p>
    <w:p>
      <w:r>
        <w:t>E-3098/2024 Seite 8 angewiesen (vgl. zur hierzu geltenden Praxis in BVGE 2022 VI/1 E. 6.3 sowie Urteil des BVGer D-1953/2024 vom 15. August 2024 E. 5.2.1 m.w.H.). Zusätzlich ist auch unbestritten, dass der Beschwerdeführer vor dem 24. Februar 2022 nicht in der Ukraine offiziell wohnhaft war (vgl. Be- schwerde S. 8). Mit seiner pauschalen und seinen Aussagen an der Befra- gung klar widersprechenden Behauptung in der Beschwerde (vgl. act. 11 F10-14, F24), er habe eigentlich faktisch schon Hauptwohnsitz in der Uk- raine gehabt und sei nur gelegentlich in die Türkei gegangen, vermag er den überzeugenden vorinstanzlichen Erwägungen nichts Stichhaltiges zu entgegnen. Zur Vermeidung von Wiederholungen kann daher hierzu auf die zutreffenden Erwägungen des SEM verwiesen werden. Damit fällt die Anwendung von Ziff. I Bst. a der Allgemeinverfügung vom 11. März 2022 ausser Betracht. Weiter verfügt er weder über einen Schutzstatus noch über eine Aufent- haltsbewilligung in der Ukraine, womit auch Ziff. I Bst. b und c der vorge- nannten Allgemeinverfügung nicht zur Anwendung kommen. Diesbezüg- lich ist festzuhalten, dass der für türkische Staatsangehörige geltende vi- sumsbefreite Aufenthalt in der Ukraine von bis zu 90 Tagen (vgl. die offizi- ellen Informationen auf der Webseite des Ukrainischen Aussenministeri- ums, abrufbar unter &lt; https://mfa.gov.ua/en/consular-affairs/entry-and- stay-foreigners-ukraine/entry-regime-ukraine-foreign-citizens &gt;) nicht mit einer auf einen längeren Verbleib ausgerichteten Aufenthaltsbewilligung gleichzusetzen ist. Im Übrigen wurde auf Beschwerdeebene auch nicht be- hauptet, dass einer dauerhaften Rückkehr in die Türkei etwas entgegen- stehen würde. Die angefochtene Verfügung ist diesbezüglich somit nicht zu beanstanden.</w:t>
      </w:r>
    </w:p>
    <w:p>
      <w:r>
        <w:rPr>
          <w:b/>
        </w:rPr>
        <w:t>E. 6.2.1</w:t>
      </w:r>
    </w:p>
    <w:p>
      <w:r>
        <w:t>Des Weiteren ist anzufügen, dass vorliegend ohnehin auch die Vo- raussetzungen gemäss Art. 71 Abs. 1AsylG nicht erfüllt sind. Ungeachtet der Frage, ob eine schützenswerte Familiengemeinschaft vorliegt, erfolgte die seit über einem Jahrzehnt bestehende räumliche Trennung des Be- schwerdeführers von seiner Ehefrau und dem gemeinsamen Kind ohne Not und offensichtlich bewusst aus ökonomischen Gründen (vgl. act. 11 F8-10). Zusätzlich ist angesichts der genannten Visabestimmungen fraglich, wie sich der Beschwerdeführer ohne Aufenthaltsbewilligung eigenen Angaben</w:t>
      </w:r>
    </w:p>
    <w:p>
      <w:r>
        <w:t>E-3098/2024 Seite 9 zufolge manchmal bis zu fünf Monate am Stück visumsfrei in der Ukraine aufgehalten haben will (vgl. a.a.O. F6, F12) – am Wahrheitsgehalt der ent- sprechenden Vorbringen bestehen daher erhebliche Zweifel. Darüber hin- aus fehlt es nach dem Ausgeführten weiter auch bereits am Erfordernis der vorbestandenen Familiengemeinschaft in der Konfliktregion.</w:t>
      </w:r>
    </w:p>
    <w:p>
      <w:r>
        <w:rPr>
          <w:b/>
        </w:rPr>
        <w:t>E. 6.2.2</w:t>
      </w:r>
    </w:p>
    <w:p>
      <w:r>
        <w:t>Letztlich ist auch auf die besonderen Umstände zu verweisen, wo- nach die Möglichkeit eines gemeinsamen Familienlebens in einem siche- ren Drittstaat, dessen Staatsangehörigkeit die aufzunehmende Person be- sitzt, besteht. Wie bereits erwähnt sind keine stichhaltigen Hinweise er- sichtlich, weshalb es dem Beschwerdeführer und seiner Familie nicht mög- lich wäre, ihr Familienleben in der Türkei zu führen.</w:t>
      </w:r>
    </w:p>
    <w:p>
      <w:r>
        <w:rPr>
          <w:b/>
        </w:rPr>
        <w:t>E. 6.2.3</w:t>
      </w:r>
    </w:p>
    <w:p>
      <w:r>
        <w:t>Auch vor diesem Hintergrund ist die angefochtene Verfügung nicht zu beanstanden.</w:t>
      </w:r>
    </w:p>
    <w:p>
      <w:r>
        <w:rPr>
          <w:b/>
        </w:rPr>
        <w:t>E. 6.3</w:t>
      </w:r>
    </w:p>
    <w:p>
      <w:r>
        <w:t>Zusammenfassend hat das SEM das Gesuch des Beschwerdeführers um Gewährung des vorübergehenden Schutzes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 Im Übrigen vermag der Beschwerdeführer aufgrund der vorstehend angeführten Fami- liensituation und unter Berücksichtigung des Umstands, dass er zuvor be- reits während mehrerer Jahre von seiner Familie getrennt lebte, auch aus dem Grundsatz der Einheit der Familie nichts zu seinen Gunsten abzulei- 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E-3098/2024 Seite 10</w:t>
      </w:r>
    </w:p>
    <w:p>
      <w:r>
        <w:rPr>
          <w:b/>
        </w:rPr>
        <w:t>E. 8.2</w:t>
      </w:r>
    </w:p>
    <w:p>
      <w:r>
        <w:t>Das SEM befand den Vollzug der Wegweisung in der angefochtenen Verfügung mit zutreffenden Argumenten für zulässig, zumutbar und mög- lich (vgl. a.a.O. E. III). Der Beschwerdeführer hielt dem in seiner Be- schwerde nichts entgegen und unterzog sich damit stillschweigend der Würdigung des SEM. Zur Vermeidung von Wiederholungen kann in dieser Hinsicht daher vollumfänglich auf die Erwägungen des SEM verwiesen werden, denen sich das Gericht anschliesst. Auch ist vor dem Hintergrund der geschilderten Familiensituation und mangels Substanziierung der pau- schalen Beschwerdehinweise nicht ersichtlich, inwiefern vorliegend das Kindeswohl dem Vollzug der Wegweisung entgegenstehen sollte. Aus der UNO-Kinderrechtskonvention ergibt sich kein direkt ableitbarer Anspruch auf Familiennachzug (vgl. BGE 140 I 145 E. 3.2, 139 I 315 E. 2.4 oder 126 II 377 E. 5d) und eine Pflege der Beziehung mit dem Vater ist auch bei einer örtlichen Trennung grundsätzlich weiter möglich, zumal sich die Fa- milie offensichtlich auch bisher mit der Situation zweier verschiedener Wohnsitze arrangieren konnte.</w:t>
      </w:r>
    </w:p>
    <w:p>
      <w:r>
        <w:rPr>
          <w:b/>
        </w:rPr>
        <w:t>E. 8.3</w:t>
      </w:r>
    </w:p>
    <w:p>
      <w:r>
        <w:t>Der Vollzug der Wegweisung ist somit als zulässig, zumutbar und mög- lich zu bezeichnen. Eine Anordnung der vorläufigen Aufnahme fällt ausser Betracht (Art. 83 Abs. 1–4 AIG).</w:t>
      </w:r>
    </w:p>
    <w:p>
      <w:r>
        <w:rPr>
          <w:b/>
        </w:rPr>
        <w:t>E. 9</w:t>
      </w:r>
    </w:p>
    <w:p>
      <w:r>
        <w:t>Aus diesen Erwägungen ergibt sich, dass die angefochtene Verfügung Bundesrecht nicht verletzt und auch sonst nicht zu beanstanden ist (Art. 106 Abs. 1 AsylG). Für eine Rückweisung der Sache an die Vorinstanz zur Neuentscheidung besteht daher kein Anlass, weshalb das nicht weiter substanziierte Rechtsbegehren abzuweisen ist. Die Beschwerde ist abzu- weisen, soweit darauf eingetreten wird.</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bereits geleistete Kostenvorschuss gleicher Höhe wird zur Bezahlung der Verfahrenskosten verwendet. (Dispositiv nächste Seite)</w:t>
      </w:r>
    </w:p>
    <w:p>
      <w:r>
        <w:t>E-3098/2024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