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E-3098/2016 vom 8. September 2016</w:t>
      </w:r>
    </w:p>
    <w:p>
      <w:r>
        <w:t>Bundesverwaltungsgericht, 2016-09-08, DE</w:t>
      </w:r>
    </w:p>
    <w:p>
      <w:r>
        <w:rPr>
          <w:b/>
        </w:rPr>
        <w:t xml:space="preserve">Quelle: </w:t>
      </w:r>
      <w:r>
        <w:t>https://mcp.opencaselaw.ch/entscheid/bvger_E-3098_2016</w:t>
      </w:r>
    </w:p>
    <w:p>
      <w:r>
        <w:t>FR: TAF E-3098/2016 du 8 septembre 2016</w:t>
      </w:r>
    </w:p>
    <w:p>
      <w:r>
        <w:t>IT: TAF E-3098/2016 del 8 settembre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Beschwerde richtet sich ausschliesslich gegen den Vollzug der Wegweisung. Die Verfügung des SEM vom 15. April 2016 ist, soweit sie die Fragen der Flüchtlingseigenschaft, der Gewährung von Asyl und der Wegweisung (Dispositivziffern 1, 2 und 3) betrifft, mangels Anfechtung in Rechtskraft erwachsen.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5.2.2</w:t>
      </w:r>
    </w:p>
    <w:p>
      <w:r>
        <w:t>Das SEM führte in der angefochtenen Verfügung zur Zumutbarkeit des Wegweisungsvollzugs an, weder die in der Ukraine herrschende politische Situation noch andere Gründe würden gegen die Zumutbarkeit einer Rückführung sprechen. Der Konflikt in der Ostukraine beschränke sich auf ein relativ kleines Gebiet. Der Wohnort der Beschwerdeführerin und von B._______ befinde sich zwar im vom bewaffneten Konflikt betroffenen Gebiet, aufgrund der verfassungsmässig garantierten Niederlassungsfreiheit bestehe jedoch die Möglichkeit, den Wohnort innerhalb des von der Regierung kontrollierten Gebietes frei zu wählen. Zudem habe die Beschwerdeführerin mehr als (...) in F._______ gelebt und den Akten könnten keine individuellen Wegweisungsvollzugshindernisse entnommen werden. Ausserdem verfüge sie über Berufserfahrung und über ein familiäres Beziehungsnetz, auf das sie bei Bedarf zurückgreifen könne. In der Vernehmlassung vom 30. Mai 2016 wurde diesbezüglich angeführt, es sei festzuhalten, dass sich der Wegweisungsvollzugsentscheid nicht auf einen konkreten Ort, sondern auf das ganze von der Regierung kontrollierte Gebiet beziehe, zumal es nicht Sache der Asylbehörden sei, den für die Beschwerdeführerin und B._______ besten alternativen Wohnort zu evaluieren und zu bestimmen. Wie bereits in der angefochtenen Verfügung ausgeführt worden sei, gäbe es gewisse Faktoren, die für eine Zufluchtsalternative in F._______ sprechen würden, zumal die Beschwerdeführerin diese Stadt aufgrund ihres dortigen Aufenthaltes bereits kenne. Als weitere Aufenthaltsalternative komme G._______ in Frage, wo sie sich vor ihrer Ausreise bei (...) aufgehalten habe und als Flüchtling registriert sei. G._______ werde von der ukrainischen Regierung kontrolliert und sei aktuell sicher. Zudem könne sich auch ihre in D._______ wohnhafte (...) in G._______ um (...) kümmern. Ferner könne sich die Beschwerdeführerin nach ihrer Rückkehr erneut als IDP registrieren lassen und die mit diesem Status verbundenen sozialen Rechte in Anspruch nehmen. Aufgrund ihres ukrainischen Reisepasses sollte es ihr ohne weiteres möglich sein, ihre Herkunft aus D._______ nachzuweisen. Der Vollzug der Wegweisung erweise sich deshalb als zumutbar.</w:t>
      </w:r>
    </w:p>
    <w:p>
      <w:r>
        <w:rPr>
          <w:b/>
        </w:rPr>
        <w:t>E. 6.1.1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Asylrekurskommission: Entscheidungen und Mitteilungen der ehemaligen Schweizerischen Asylrekurskommission [EMARK] 2005 Nr. 6 E. 6.; 2006 Nr. 24 E. 6.2.3., BVGE 2009/28 E. 9.3.2; 2009/51 E. 5.6).</w:t>
      </w:r>
    </w:p>
    <w:p>
      <w:r>
        <w:rPr>
          <w:b/>
        </w:rPr>
        <w:t>E. 6.1.2</w:t>
      </w:r>
    </w:p>
    <w:p>
      <w:r>
        <w:t>Art. 35 Abs. 1 VwVG verpflichtet die Behörden, schriftliche Verfügungen zu begründen. Die Begründungspflicht konkretisiert den Grundsatz des rechtlichen Gehörs (Art. 29 Abs. 2 BV). Sie ermöglicht es den Verfügungsadressaten, wirksam Beschwerde zu führen, und verhindert, dass sich die Behörden von unsachgemässen Motiven leiten lassen (vgl. Alfred Kölz/Isabelle Häner, Verwaltungsverfahren und Verwaltungsrechtspflege des Bundes, 2. Aufl., Zürich 1998, RZ. 354 ff.).</w:t>
      </w:r>
    </w:p>
    <w:p>
      <w:r>
        <w:rPr>
          <w:b/>
        </w:rPr>
        <w:t>E. 6.1.3</w:t>
      </w:r>
    </w:p>
    <w:p>
      <w:r>
        <w:t>Die Vorinstanz verfügt im Bereich der Anordnung des Wegweisungsvollzugs (im Gegensatz zum Bereich der Anordnung der Wegweisung; Art. 44 Abs. 1 AsylG) über einen erheblichen Ermessensspielraum. Dieser Umstand wirkt sich direkt auf die erforderliche Begründungsdichte aus: Im Rahmen der Prüfung der Durchführbarkeit des Wegweisungsvollzugs sind die Vorbringen der betroffenen Person, ihre persönliche Situation sowie die allgemeine Lage im Heimat- oder Herkunftsstaat zu würdigen, und die auf diese Weise erlangten Befunde sind an verhältnismässig offenen Rechtsbegriffen zu messen. Die Begründung des angeordneten Wegweisungsvollzugs hat demnach dichter und ausführlicher auszufallen, als wenn lediglich - wie bei der Anordnung der Wegweisung - eine gesetzlich vorgeschriebene Rechtsfolge angewandt wird. Die Unzumutbarkeit des Wegweisungsvollzugs kann sich aus der allgemeinen Lage im Heimatstaat oder aus den persönlichen Verhältnissen der betroffenen Person ergeben.</w:t>
      </w:r>
    </w:p>
    <w:p>
      <w:r>
        <w:rPr>
          <w:b/>
        </w:rPr>
        <w:t>E. 6.1.4</w:t>
      </w:r>
    </w:p>
    <w:p>
      <w:r>
        <w:t>Zur Begründung einer Verfügung, mit welcher die Zumutbarkeit des Wegweisungsvollzugs festgestellt wird, hat die Vorinstanz daher einer-seits ausdrücklich darzutun, dass die betroffene Person im Heimat- oder Herkunftsstaat unter Würdigung der dort herrschenden politischen, sicherheitstechnischen und wirtschaftlichen Verhältnissen keiner konkreten Gefährdung ausgesetzt wäre. Anderseits muss dargelegt werden, dass auch aufgrund der persönlichen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Wegweisung abzuwägen. Aus der Begründung muss ersichtlich sein, dass diese Abwägung vorgenommen wurde (vgl. da-zu EMARK 2006 Nr. 4 E. 5.1 S. 44 f., mit weiteren Hinweisen).</w:t>
      </w:r>
    </w:p>
    <w:p>
      <w:r>
        <w:rPr>
          <w:b/>
        </w:rPr>
        <w:t>E. 6.2</w:t>
      </w:r>
    </w:p>
    <w:p>
      <w:r>
        <w:t>Vorliegend ist festzustellen, dass die Begründung zur Zumutbarkeit des Wegweisungsvollzugs in der angefochtenen Verfügung keine Hinweise darauf enthält, das SEM habe im Sinne der vorgenannten Erwägung (E. 6.1.1) die Situation von B._______ unter dem Blickwinkel des Kindeswohls gewürdigt und im Rahmen einer gesamtheitlichen Beurteilung sämtliche Kriterien einbezogen, die im Hinblick auf einen Wegweisungsvollzug wesentlich erscheinen (Alter, Reife, Abhängigkeiten, Art [Nähe, Intensität, Tragfähigkeit] der Beziehungen, Eigenschaften der Bezugsperson [vor allem Unterstützungsbereitschaft und -fähigkeit], Stand und Prognose bezüglich Entwicklung/Ausbildung sowie der Grad der erfolgten Integration bei einem längeren Aufenthalt in der Schweiz). Insbesondere wäre unter anderem auch zu veranschlagen gewesen, dass in der Beschwerde geltend gemacht wurde, B._______ sei wie (...) Mutter Zeuge von Kriegshandlungen, worunter die gezielte Tötung von Menschen und andere Gewalttaten, geworden und aufgrund dieser Ereignisse (...). Vor diesem Hintergrund wäre das SEM verpflichtet gewesen, abzuklären, ob in der Ukraine adäquate, dem Kindeswohl entsprechende Behandlungsmöglichkeiten für B._______ existieren. Diese Unterlassung erschwert nicht nur eine sachgerechte Anfechtung der vorinstanzlichen Verfügung durch die betroffene Person, sondern schränkt auch die Möglichkeit des Bundesverwaltungsgerichts ein, den erstinstanzlichen Entscheidfindungsprozess zu überprüfen. Bei dieser Sachlage muss festgestellt werden, dass das SEM der ihm obliegenden Begründungspflicht nicht nachgekommen ist und damit den Anspruch der Beschwerdeführerin und von B._______ auf rechtliches Gehör verletzt hat.</w:t>
      </w:r>
    </w:p>
    <w:p>
      <w:r>
        <w:rPr>
          <w:b/>
        </w:rPr>
        <w:t>E. 6.3</w:t>
      </w:r>
    </w:p>
    <w:p>
      <w:r>
        <w:t>Nachdem feststeht, dass die Vorinstanz die Begründungspflicht verletzt hat, bleibt zu prüfen, ob dieser Mangel geheilt werden kann oder zur Kassation der angefochtenen Verfügung führen muss. Entsprechend der formellen Natur des rechtlichen Gehörs sind Entscheide mit mangelhafter Begründung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 a.a.O., Rz. 366). Vorliegend hat es die Vorinstanz unterlassen, in ihrer Vernehmlassung vom 30. Mai 2016 eine rechtsgenügliche Begründung für den angeordneten Wegweisungsvollzug unter dem Aspekt des Kindeswohls nachzuliefern. Vor diesem Hintergrund bleibt kein Raum für eine Heilung des als schwerwiegend zu qualifizierenden Verfahrensmangels, weshalb die angefochtene Verfügung hinsichtlich der Anordnung des Wegweisungsvollzugs zu kassieren ist (vgl. dazu unter anderen die Urteile des Bundesverwaltungsgerichts E-3240/2011 vom 28. März 2013, E-1494/2013 vom 11. Dezember 2014 und D-1553/2015 vom 6. Oktober 2015).</w:t>
      </w:r>
    </w:p>
    <w:p>
      <w:r>
        <w:rPr>
          <w:b/>
        </w:rPr>
        <w:t>E. 7</w:t>
      </w:r>
    </w:p>
    <w:p>
      <w:r>
        <w:t>Die Beschwerde ist somit im Sinne der Erwägungen gutzuheissen. Die Dispositivziffern 4 und 5 der Verfügung vom 15. April 2016 sind aufzuheben und die Sache ist zur Neubeurteilung des Wegweisungsvollzugs an das SEM zurückzuweisen. Angesichts dieser Sachlage erübrigt sich eine Auseinandersetzung mit den auf Beschwerdeebene im Hinblick auf einen reformatorischen Entscheid gemachten Vorbringen und den zu deren Stützung zu den Akten gereichten Dokumenten, weil es Sache des SEM sein wird, sich damit zu befassen.</w:t>
      </w:r>
    </w:p>
    <w:p>
      <w:r>
        <w:rPr>
          <w:b/>
        </w:rPr>
        <w:t>E. 8</w:t>
      </w:r>
    </w:p>
    <w:p>
      <w:r>
        <w:t>Bei diesem Ausgang des Verfahrens sind keine Kosten zu erheben (Art. 63 Abs. 1 und 2 VwVG), womit der Antrag auf Gewährung der unentgeltlichen Prozessführung gegenstandslos wird. Ein Kostenvorschuss ist nicht eingefordert worden, weshalb der diesbezüglich Antrag auf Verzicht hinfällig ist.</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