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E-3095/2007 vom 9. Juli 2008</w:t>
      </w:r>
    </w:p>
    <w:p>
      <w:r>
        <w:t>Bundesverwaltungsgericht, 2008-07-09, FR</w:t>
      </w:r>
    </w:p>
    <w:p>
      <w:r>
        <w:rPr>
          <w:b/>
        </w:rPr>
        <w:t xml:space="preserve">Quelle: </w:t>
      </w:r>
      <w:r>
        <w:t>https://mcp.opencaselaw.ch/entscheid/bvger_E-3095_2007</w:t>
      </w:r>
    </w:p>
    <w:p>
      <w:r>
        <w:t>FR: TAF E-3095/2007 du 9 juillet 2008</w:t>
      </w:r>
    </w:p>
    <w:p>
      <w:r>
        <w:t>IT: TAF E-3095/2007 del 9 luglio 2008</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d'entrée en Suisse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qu'il est persécuté au sens de l'art. 3 LAsi (cf. art. 20 al. 3 LAsi), à moins qu'on puisse attendre de lui qu'il s'efforce d'être admis dans un autre Etat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Dans ce contexte, le fait pour une personne, qui a déposé une demande d'asile à l'étranger, de séjourner dans un Etat tiers ne signifie pas pour autant qu'on puisse exiger qu'elle se fasse admettre dans cet Etat. En pareil cas, il s'agit non seulement d'examiner les éléments qui font apparaître comme exigible son admission dans cet Etat (ou dans un autre pays) mais encore de les mettre en balance avec les éventuelles relations qu'elle entretient avec la Suisse (JICRA 2005 n° 19 consid. 4.3. p. 174s., JICRA 2004 no 21 consid. 2b p. 137 et consid. 4 p. 138ss, JICRA 2004 n° 20 consid. 3b p. 130s., JICRA 1997 n° 15 consid. 2f p. 131s.). Si le requérant n'a pas rendu vraisemblables des persécutions (art. 3 et 7 LAsi) ou si l'on peut attendre de sa part qu'il s'efforce d'être admis dans un autre Etat (art. 52 al. 2 LAsi), l'autorité est légitimée à rendre une décision matérielle négative rejetant la demande d'asile (JICRA 2004 n° 21 consid. 2a p. 136, JICRA 2004 no 20 consid. 3a p. 130, JICRA 1997 no 15 consid. 2b p. 129s.).</w:t>
      </w:r>
    </w:p>
    <w:p>
      <w:r>
        <w:rPr>
          <w:b/>
        </w:rPr>
        <w:t>E. 3.1</w:t>
      </w:r>
    </w:p>
    <w:p>
      <w:r>
        <w:t>En l'occurrence, le Tribunal estime, à l'instar de l'ODM, qu'on peut attendre des intéressés qu'ils s'efforcent d'être admis dans un autre Etat, notamment au Ghana, du fait qu'ils n'entretiennent pas une relation étroite particulière avec la Suisse (cf. art. 52 al. 2 LAsi).</w:t>
      </w:r>
    </w:p>
    <w:p>
      <w:r>
        <w:rPr>
          <w:b/>
        </w:rPr>
        <w:t>E. 3.2</w:t>
      </w:r>
    </w:p>
    <w:p>
      <w:r>
        <w:t>En ce qui concerne la possibilité pratique et l'exigibilité de chercher protection ailleurs, les intéressés peuvent demeurer au Ghana, où ils séjournent depuis février 2006. En effet, non seulement, ils ne sont pas soumis à l'obligation d'obtenir un visa de séjour pour résider au Ghana, selon les informations à disposition du Tribunal (cf. également les rapports d'audition du 17 janvier 2007 p. 3), mais ils peuvent aussi demander expressément protection à ce pays, qui est partie à la Convention du 28 juillet 1951 relative au statut des réfugiés (Conv., RS 0.142.30) et à son protocole additionnel du 31 janvier 1967. A cet égard, leurs craintes d'y être persécutés ne sont pas avérées ; en effet, il est notoire que les autorités ghanéennes ont considéré les Togolais qui avaient fui au Ghana en 2005 comme des réfugiés prima facie auxquels ces autorités ont assuré protection et assistance. L'UNHCR ne fait d'ailleurs pas état de plaintes qui pourraient laisser penser que des Togolais ayant fui leur pays en 2005 auraient été menacés au Ghana. Au contraire, ils y bénéficient encore d'un asile sûr et ne sont pas confrontés à des problèmes de sécurité. De même, bien que la frontière entre le Ghana et le Togo soit très perméable, l'UNHCR n'a pas eu affaire à des rapports ni à des rumeurs selon lesquels des réfugiés qui se sont installés dans des villages ghanéens proches de cette frontière auraient été inquiétés. Les documents produits par les recourants, qui font état de la crainte de réfugiés togolais d'être persécutés au Ghana ainsi que de quelques incidents auxquels certains ont été confrontés, ne suffisent pas à établir un risque pour la sécurité des intéressés, au vu des informations fiables exposées ci-dessus. Ainsi, les recourants n'ont pas rendu hautement probable qu'au Ghana ils seraient exposés aux persécutions d'autorités locales ou à celles d'agents du gouvernement togolais infiltrés ou encore à celles de tiers, déterminantes pour la reconnaissance de la qualité de réfugié (JICRA 2006 n° 18 en particulier consid. 10.3.2.). Ils n'ont pas non plus démontré que l'UNHCR leur avait formellement refusé sa protection dans ce pays. Par ailleurs, rien ne permet de penser qu'en raison de l'accord tripartite conclu avec le Togo et l'UNHCR au sujet du rapatriement des réfugiés togolais, le Ghana serait amené à violer le principe d'interdiction du refoulement. S'agissant des moyens de preuve produits qui évoquent des expulsions de réfugiés du Ghana au Togo, ceux-ci ne sauraient permettre de modifier cette appréciation, étant donné que parmi ces documents, deux ne sont plus d'actualité, étant datés de 2002 et de 2003, et le troisième consiste en un courriel privé qui est par conséquent dénué de valeur probante en raison du risque de collusion. En outre, les réfugiés togolais ont, en règle générale, pu bénéficier de bonnes conditions d'asile au Ghana où les communautés locales les ont bien accueillis. Si, comme le relèvent certaines coupures de presse produites, les conditions de vie des réfugiés au Ghana ont parfois pu être difficiles en raison de leur afflux massif en 2005, elles se sont nettement améliorées depuis lors et ne posent plus de problèmes déterminants à l'heure actuelle (cf. U.S. Committee for refugees and immigrants, World refugee survey 2007 - Ghana). Les recourants bénéficient par ailleurs de l'aide et du soutien du pasteur chez qui ils logent. Ainsi, ils ne seront à l'évidence confrontés à aucune difficulté d'intégration ni d'assimilation, d'autant plus qu'il s'agit d'un Etat voisin de leur pays d'origine. Dans ces conditions, on est en droit d'attendre de leur part qu'ils sollicitent la protection du Ghana.</w:t>
      </w:r>
    </w:p>
    <w:p>
      <w:r>
        <w:rPr>
          <w:b/>
        </w:rPr>
        <w:t>E. 3.3</w:t>
      </w:r>
    </w:p>
    <w:p>
      <w:r>
        <w:t>Reste à se demander s'il doit être renoncé à cette exigence du fait qu'il existerait des relations particulières entre les recourants et la Suisse. L'unique attache que les intéressés présentent avec la Suisse est la présence de leur frère, qui y a été reconnu comme réfugié. Même s'ils ne possèdent aucune autre famille en dehors du Togo, notamment au Ghana, la seule présence de leur frère en Suisse n'apparaît pas prépondérante au point qu'il ne soit plus exigible d'attendre de leur part qu'ils sollicitent la protection des autorités ghanéennes. A cet égard, il sied de préciser que les relations particulières avec la Suisse que suppose l'art. 52 al. 2 LAsi ne correspondent pas aux conditions prévues par l'art. 51 LAsi pour l'octroi de l'asile familial (cf. JICRA 2004 n° 21 consid. 4b/aa p. 139s.), contrairement à ce que pourrait laisser penser la décision attaquée. Cette différenciation ne change toutefois rien au développement fait ci-dessus ni à la conclusion selon laquelle la clause d'exclusion de l'asile de l'art. 52 al. 2 LAsi est applicable en l'espèce.</w:t>
      </w:r>
    </w:p>
    <w:p>
      <w:r>
        <w:rPr>
          <w:b/>
        </w:rPr>
        <w:t>E. 3.4</w:t>
      </w:r>
    </w:p>
    <w:p>
      <w:r>
        <w:t>Par ailleurs, il semble que l'autorisation d'entrer en Suisse doit également être refusée aux recourants sur la base de l'art. 20 al. 3 LAsi, dès lors que les risques de persécution qu'ils font valoir au Togo n'apparaissent plus être d'actualité, étant donné l'amélioration de la situation dans ce pays. En effet, si les affrontements qui ont suivi l'élection d'avril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w:t>
      </w:r>
    </w:p>
    <w:p>
      <w:r>
        <w:rPr>
          <w:b/>
        </w:rPr>
        <w:t>E. 3.5</w:t>
      </w:r>
    </w:p>
    <w:p>
      <w:r>
        <w:t>Enfin, les deux causes citées par les recourants dans leur recours diffèrent de façon significative de la leur, en ce sens que, d'une part, dans la première affaire, le requérant avait ses deux soeurs et son beau-frère en Suisse, tandis que la seconde concernait une femme veuve, avec un enfant en bas âge à charge et que, d'autre part, l'existence de menaces de persécution imminentes au sens de l'art. 3 LAsi était avérée dans ces deux cas.</w:t>
      </w:r>
    </w:p>
    <w:p>
      <w:r>
        <w:rPr>
          <w:b/>
        </w:rPr>
        <w:t>E. 4</w:t>
      </w:r>
    </w:p>
    <w:p>
      <w:r>
        <w:t>Par conséquent, c'est à juste titre que l'ODM a refusé d'octroyer une autorisation d'entrer en Suisse aux intéressés et a prononcé le rejet de leurs demandes d'asile. Il s'ensuit que le recours doit être rejeté.</w:t>
      </w:r>
    </w:p>
    <w:p>
      <w:r>
        <w:rPr>
          <w:b/>
        </w:rPr>
        <w:t>E. 5</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intéressés ayant été mis au bénéfice de l'assistance judiciaire partielle par décision incidente du 29 mai 2007,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