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E-3093/2023 vom 2. Juni 2023</w:t>
      </w:r>
    </w:p>
    <w:p>
      <w:r>
        <w:t>Bundesverwaltungsgericht, 2023-06-02, DE</w:t>
      </w:r>
    </w:p>
    <w:p>
      <w:r>
        <w:rPr>
          <w:b/>
        </w:rPr>
        <w:t xml:space="preserve">Quelle: </w:t>
      </w:r>
      <w:r>
        <w:t>https://mcp.opencaselaw.ch/entscheid/bvger_E-3093_2023</w:t>
      </w:r>
    </w:p>
    <w:p>
      <w:r>
        <w:t>FR: TAF E-3093/2023 du 2 juin 2023</w:t>
      </w:r>
    </w:p>
    <w:p>
      <w:r>
        <w:t>IT: TAF E-3093/2023 del 2 giugno 2023</w:t>
      </w:r>
    </w:p>
    <w:p>
      <w:pPr>
        <w:pStyle w:val="Heading2"/>
      </w:pPr>
      <w:r>
        <w:t>Regeste</w:t>
      </w:r>
    </w:p>
    <w:p>
      <w:r>
        <w:t>Nichteintreten auf Asylgesuch und Wegweisung (Dublin-Verfahren - Art. 31a Abs. 1 Bst. b AsylG)</w:t>
      </w:r>
    </w:p>
    <w:p>
      <w:pPr>
        <w:pStyle w:val="Heading2"/>
      </w:pPr>
      <w:r>
        <w:t>Erwägungen</w:t>
      </w:r>
    </w:p>
    <w:p>
      <w:r>
        <w:rPr>
          <w:b/>
        </w:rPr>
        <w:t>E. 22</w:t>
      </w:r>
    </w:p>
    <w:p>
      <w:r>
        <w:t>März 2023 E. 9), dass jeder Mitgliedstaat abweichend von Art. 3 Abs. 1 Dublin-III-VO beschliessen kann, einen bei ihm gestellten Antrag auf internationalen Schutz zu prüfen, auch wenn er nach den in dieser Verordnung festgeleg- 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w:t>
      </w:r>
    </w:p>
    <w:p>
      <w:r>
        <w:t>E-3093/2023 Seite 7 dass der Selbsteintritt jedoch zwingend ist, wenn individuelle völkerrechtli- che Überstellungshindernisse vorliegen (vgl. BVGE 2015/9 E. 8.2.1), dass Kroatien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w:t>
      </w:r>
    </w:p>
    <w:p>
      <w:r>
        <w:rPr>
          <w:b/>
        </w:rPr>
        <w:t>E. 26</w:t>
      </w:r>
    </w:p>
    <w:p>
      <w:r>
        <w:t>Juni 2013 zur Festlegung von Normen für die Aufnahme von Personen, die internationalen Schutz beantragen (sog. Aufnahmerichtlinie) ergeben, dass auch die von den Beschwerdeführenden geschilderten Erlebnisse mit Polizeibeamten während ihres Aufenthalts in Kroatien sowie die in der Be- schwerdeeingabe zitierten Berichte von verschiedenen Nichtregierungs- organisationen und Institutionen keinen Anlass zur Annahme geben, Kroa- tien verstosse systematisch gegen seine vertraglichen Verpflichtungen, dass die von den Beschwerdeführenden in der kurzen Zeit ihres Aufent- halts in Kroatien geltend gemachte schlechte Behandlung es nichtrechtfer- tigt, davon auszugehen, dass sie bei einer Rückkehr mit hoher Wahrscheinlichkeit Opfer einer unmenschlichen oder erniedrigenden Behandlung im Sinne von Art. 3 EMRK, Art. 3 FoK oder Art. 4 EU-Grund- rechtecharta werden, dass sie sich bei allfälligem Fehlverhalten einzelner Polizeibeamter oder Privatpersonen zudem – nötigenfalls mit Hilfe der vor Ort tätigen karitativen Organisationen – an die zuständigen kroatischen Stellen wenden können, dass unter diesen Umständen die Anwendung von Art. 3 Abs. 2 Satz 2 Dublin-III-VO nicht gerechtfertigt ist, dass das Gericht im erwähnten Referenzurteil festhielt, der Verdacht eines Gefährdungszusammenhangs zwischen Push-backs und Dublin-Rückkehr lasse sich aufgrund der verfügbaren Informationen und Erkenntnisse nicht erhärten (vgl. Referenzurteil E-1488/2020 a.a.O. E. 9.4.2 f.),</w:t>
      </w:r>
    </w:p>
    <w:p>
      <w:r>
        <w:t>E-3093/2023 Seite 8 dass insofern zum heutigen Zeitpunkt keine genügenden Anzeichen dafür bestünden, dass Dublin-Rückkehrende ohne Eröffnung und Durchführung eines Asylverfahrens aus Kroatien rechtswidrig ausgeschafft werden wür- den, und insbesondere aufgrund dieser Ausgangslage nicht davon auszu- gehen sei, dass solches systematisch geschehen würde, dass, soweit die Beschwerdeführenden die Anwendung der Ermessens- klausel von Art. 17 Abs. 1 Dublin-III-VO respektive der – das Selbsteintritts- recht im Landesrecht konkretisierenden – Bestimmung von Art. 29a Abs. 3 der Asylverordnung 1 vom 11. August 1999 (AsylV 1, SR 142.311) fordern, festzustellen ist, dass sie kein konkretes und ernsthaftes Risiko dargetan haben, die kroatischen Behörden würden sich weigern, sie wieder aufzu- nehmen und ihren Antrag auf internationalen Schutz unter Einhaltung der Regeln der Verfahrensrichtlinie zu prüfen, dass den Akten auch keine Gründe für die Annahme zu entnehmen sind, Kroatien werde in ihrem Fall den Grundsatz des Non-Refoulement miss- 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Kroatien würde ihnen dauerhaft die ihnen gemäss Auf- nahmerichtlinie zustehenden minimalen Lebensbedingungen vorenthalten, und sie sich bei einer vorübergehenden Einschränkung im Übrigen nöti- genfalls an die kroatischen Behörden wenden und die ihnen zustehenden Aufnahmebedingungen auf dem Rechtsweg einfordern könnten (vgl. Art. 26 Aufnahmerichtlinie), dass sich die Beschwerdeführenden auf ihren Gesundheitszustand berufen, der einer Überstellung entgegenstehe, dass eine zwangsweise Rückweisung von Personen mit gesundheitlichen Problemen nur ganz ausnahmsweise ‒ wenn die betroffene Person sich in einem fortgeschrittenen oder terminalen Krankheitsstadium und bereits in Todesnähe befindet, oder wenn eine schwer kranke Person durch die Ab- schiebung mangels angemessener medizinischer Behandlung im Zielstaat mit einem realen Risiko konfrontiert würde, einer ernsten, raschen und un- wiederbringlichen Verschlechterung ihres Gesundheitszustands ausge- setzt zu werden, die zu intensivem Leiden oder einer erheblichen Verkür- zung der Lebenserwartung führen würde ‒ einen Verstoss gegen Art. 3 EMRK darstellen kann (vgl. BVGE 2011/9 E. 7 mit Hinweisen auf die</w:t>
      </w:r>
    </w:p>
    <w:p>
      <w:r>
        <w:t>E-3093/2023 Seite 9 damalige Praxis des Europäischen Gerichtshofs für Menschenrechte [EGMR]; Urteil des EGMR Paposhvili gegen Belgien 13. Dezember 2016, Grosse Kammer 41738/10, §§ 180–193 m.w.H.), dass die von den Beschwerdeführenden vorgebrachen gesundheitlichen Beeinträchtigungen offensichtlich nicht von derartiger Schwere sind, dass sie die Feststellung der Unzulässigkeit im Sinne dieser Rechtsprechung zu rechtfertigen vermöchten, dass Kroatien im Übrigen über eine ausreichende medizinische Infrastruk- tur verfügt (vgl. BVGer D-1666/2023 vom 25. Mai 2023 E. 6.4) und als Mit- gliedstaat verpflichtet ist, den Beschwerdeführenden im Bedarfsfall die not- wendige medizinische Behandlung zukommen zu lassen (Art. 19 Abs. 1 und 2 Aufnahmerichtlinie), dass schliesslich auch der Aspekt des Kindeswohls einer Überstellung nach Kroatien nicht entgegensteht, zumal das Kind der Beschwerdefüh- renden gemeinsam mit seinen Eltern – seinen (noch) wichtigsten Bezugs- personen – dorthin überstellt würde, dass auch Kroatien Signatarstaat des Übereinkommens vom 20. Novem- ber 1989 über die Rechte des Kindes (Kinderrechtskonvention, SR 0.107) ist und seinen daraus erwachsenen Verpflichtungen nachkommt,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 halts- oder Niederlassungsbewilligung sind – in Anwendung von Art. 44 AsylG die Überstellung nach Kroatien angeordnet hat (Art. 32 Bst. a AsylV 1),</w:t>
      </w:r>
    </w:p>
    <w:p>
      <w:r>
        <w:t>E-3093/2023 Seite 10 dass die Beschwerde aus diesen Gründen abzuweisen ist und die Verfü- gung des SEM zu bestätigen ist, dass das Beschwerdeverfahren mit vorliegendem Urteil abgeschlossen ist, weshalb sich die Anträge auf Gewährung der aufschiebenden Wirkung so- wie Verzicht auf die Erhebung eines Kostenvorschusses als gegenstands- los erweisen,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der provisorische Vollzugsstopp vom 31. Mai 2023 mit dem heutigen Urteil dahinfällt, dass bei diesem Ausgang des Verfahrens die Kosten von Fr. 750.– (Art. 1‒3 des Reglements vom 21. Februar 2008 über die Kosten und Ent- schädigungen vor dem Bundesverwaltungsgericht [VGKE, SR 173.320.2]) den Beschwerdeführenden aufzuerlegen sind (Art. 63 Abs. 1 VwVG).</w:t>
      </w:r>
    </w:p>
    <w:p>
      <w:r>
        <w:t>(Dispositiv nächste Seite)</w:t>
      </w:r>
    </w:p>
    <w:p>
      <w:r>
        <w:t>E-3093/2023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